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D7" w:rsidRDefault="007C109B" w:rsidP="007C109B">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THE COSTS AND BENEFITS OF COVID-19 LOCKDOWN</w:t>
      </w:r>
      <w:r w:rsidR="00CA0FE4">
        <w:rPr>
          <w:rFonts w:ascii="Times New Roman" w:hAnsi="Times New Roman" w:cs="Times New Roman"/>
          <w:b/>
          <w:sz w:val="24"/>
          <w:szCs w:val="24"/>
          <w:lang w:val="en-US"/>
        </w:rPr>
        <w:t>S</w:t>
      </w:r>
    </w:p>
    <w:p w:rsidR="007C109B" w:rsidRDefault="007C109B" w:rsidP="007C109B">
      <w:pPr>
        <w:spacing w:after="0" w:line="360" w:lineRule="auto"/>
        <w:jc w:val="center"/>
        <w:rPr>
          <w:rFonts w:ascii="Times New Roman" w:hAnsi="Times New Roman" w:cs="Times New Roman"/>
          <w:b/>
          <w:sz w:val="24"/>
          <w:szCs w:val="24"/>
          <w:lang w:val="en-US"/>
        </w:rPr>
      </w:pPr>
    </w:p>
    <w:p w:rsidR="007C109B" w:rsidRDefault="006B2F3B" w:rsidP="007C109B">
      <w:pPr>
        <w:spacing w:after="0"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Dr</w:t>
      </w:r>
      <w:proofErr w:type="spellEnd"/>
      <w:r>
        <w:rPr>
          <w:rFonts w:ascii="Times New Roman" w:hAnsi="Times New Roman" w:cs="Times New Roman"/>
          <w:sz w:val="24"/>
          <w:szCs w:val="24"/>
          <w:lang w:val="en-US"/>
        </w:rPr>
        <w:t xml:space="preserve"> </w:t>
      </w:r>
      <w:r w:rsidR="007C109B">
        <w:rPr>
          <w:rFonts w:ascii="Times New Roman" w:hAnsi="Times New Roman" w:cs="Times New Roman"/>
          <w:sz w:val="24"/>
          <w:szCs w:val="24"/>
          <w:lang w:val="en-US"/>
        </w:rPr>
        <w:t xml:space="preserve">Martin </w:t>
      </w:r>
      <w:proofErr w:type="spellStart"/>
      <w:r w:rsidR="007C109B">
        <w:rPr>
          <w:rFonts w:ascii="Times New Roman" w:hAnsi="Times New Roman" w:cs="Times New Roman"/>
          <w:sz w:val="24"/>
          <w:szCs w:val="24"/>
          <w:lang w:val="en-US"/>
        </w:rPr>
        <w:t>Lally</w:t>
      </w:r>
      <w:proofErr w:type="spellEnd"/>
    </w:p>
    <w:p w:rsidR="007C109B" w:rsidRDefault="007C109B" w:rsidP="007C109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Capital Financial Consultants</w:t>
      </w:r>
    </w:p>
    <w:p w:rsidR="007C109B" w:rsidRDefault="00033DF9" w:rsidP="007C109B">
      <w:pPr>
        <w:spacing w:after="0" w:line="360" w:lineRule="auto"/>
        <w:jc w:val="center"/>
        <w:rPr>
          <w:rFonts w:ascii="Times New Roman" w:hAnsi="Times New Roman" w:cs="Times New Roman"/>
          <w:sz w:val="24"/>
          <w:szCs w:val="24"/>
          <w:lang w:val="en-US"/>
        </w:rPr>
      </w:pPr>
      <w:hyperlink r:id="rId9" w:history="1">
        <w:r w:rsidR="00C70EEA" w:rsidRPr="007B7E9A">
          <w:rPr>
            <w:rStyle w:val="Hyperlink"/>
            <w:rFonts w:ascii="Times New Roman" w:hAnsi="Times New Roman" w:cs="Times New Roman"/>
            <w:sz w:val="24"/>
            <w:szCs w:val="24"/>
            <w:lang w:val="en-US"/>
          </w:rPr>
          <w:t>lallym@xtra.co.nz</w:t>
        </w:r>
      </w:hyperlink>
      <w:r w:rsidR="00C70EEA">
        <w:rPr>
          <w:rFonts w:ascii="Times New Roman" w:hAnsi="Times New Roman" w:cs="Times New Roman"/>
          <w:sz w:val="24"/>
          <w:szCs w:val="24"/>
          <w:lang w:val="en-US"/>
        </w:rPr>
        <w:t xml:space="preserve"> </w:t>
      </w:r>
    </w:p>
    <w:p w:rsidR="00E863E1" w:rsidRDefault="00E863E1" w:rsidP="007C109B">
      <w:pPr>
        <w:spacing w:after="0" w:line="360" w:lineRule="auto"/>
        <w:jc w:val="center"/>
        <w:rPr>
          <w:rFonts w:ascii="Times New Roman" w:hAnsi="Times New Roman" w:cs="Times New Roman"/>
          <w:sz w:val="24"/>
          <w:szCs w:val="24"/>
          <w:lang w:val="en-US"/>
        </w:rPr>
      </w:pPr>
    </w:p>
    <w:p w:rsidR="007C109B" w:rsidRDefault="00D42298" w:rsidP="007C109B">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r w:rsidR="00DB072F">
        <w:rPr>
          <w:rFonts w:ascii="Times New Roman" w:hAnsi="Times New Roman" w:cs="Times New Roman"/>
          <w:sz w:val="24"/>
          <w:szCs w:val="24"/>
          <w:lang w:val="en-US"/>
        </w:rPr>
        <w:t xml:space="preserve"> December </w:t>
      </w:r>
      <w:r w:rsidR="007C109B">
        <w:rPr>
          <w:rFonts w:ascii="Times New Roman" w:hAnsi="Times New Roman" w:cs="Times New Roman"/>
          <w:sz w:val="24"/>
          <w:szCs w:val="24"/>
          <w:lang w:val="en-US"/>
        </w:rPr>
        <w:t>2020</w:t>
      </w:r>
    </w:p>
    <w:p w:rsidR="008E319D" w:rsidRDefault="008E319D">
      <w:pPr>
        <w:rPr>
          <w:rFonts w:ascii="Times New Roman" w:hAnsi="Times New Roman" w:cs="Times New Roman"/>
          <w:sz w:val="24"/>
          <w:szCs w:val="24"/>
          <w:lang w:val="en-US"/>
        </w:rPr>
      </w:pPr>
    </w:p>
    <w:p w:rsidR="000E3C5F" w:rsidRDefault="000E3C5F">
      <w:pPr>
        <w:rPr>
          <w:rFonts w:ascii="Times New Roman" w:hAnsi="Times New Roman" w:cs="Times New Roman"/>
          <w:sz w:val="24"/>
          <w:szCs w:val="24"/>
          <w:lang w:val="en-US"/>
        </w:rPr>
      </w:pPr>
    </w:p>
    <w:p w:rsidR="000E3C5F" w:rsidRDefault="004A1C7C" w:rsidP="00D6794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Abstract</w:t>
      </w:r>
    </w:p>
    <w:p w:rsidR="00D67949" w:rsidRDefault="004A1C7C" w:rsidP="00D6056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considers the merits of the New Zealand government adopting </w:t>
      </w:r>
      <w:r w:rsidR="00824913">
        <w:rPr>
          <w:rFonts w:ascii="Times New Roman" w:hAnsi="Times New Roman" w:cs="Times New Roman"/>
          <w:sz w:val="24"/>
          <w:szCs w:val="24"/>
          <w:lang w:val="en-US"/>
        </w:rPr>
        <w:t>l</w:t>
      </w:r>
      <w:r>
        <w:rPr>
          <w:rFonts w:ascii="Times New Roman" w:hAnsi="Times New Roman" w:cs="Times New Roman"/>
          <w:sz w:val="24"/>
          <w:szCs w:val="24"/>
          <w:lang w:val="en-US"/>
        </w:rPr>
        <w:t>ockdown</w:t>
      </w:r>
      <w:r w:rsidR="00824913">
        <w:rPr>
          <w:rFonts w:ascii="Times New Roman" w:hAnsi="Times New Roman" w:cs="Times New Roman"/>
          <w:sz w:val="24"/>
          <w:szCs w:val="24"/>
          <w:lang w:val="en-US"/>
        </w:rPr>
        <w:t>s</w:t>
      </w:r>
      <w:r>
        <w:rPr>
          <w:rFonts w:ascii="Times New Roman" w:hAnsi="Times New Roman" w:cs="Times New Roman"/>
          <w:sz w:val="24"/>
          <w:szCs w:val="24"/>
          <w:lang w:val="en-US"/>
        </w:rPr>
        <w:t xml:space="preserve"> rather than a milder mitigation policy</w:t>
      </w:r>
      <w:r w:rsidR="00737960">
        <w:rPr>
          <w:rFonts w:ascii="Times New Roman" w:hAnsi="Times New Roman" w:cs="Times New Roman"/>
          <w:sz w:val="24"/>
          <w:szCs w:val="24"/>
          <w:lang w:val="en-US"/>
        </w:rPr>
        <w:t xml:space="preserve"> in response to the covid-19 pandemic</w:t>
      </w:r>
      <w:r>
        <w:rPr>
          <w:rFonts w:ascii="Times New Roman" w:hAnsi="Times New Roman" w:cs="Times New Roman"/>
          <w:sz w:val="24"/>
          <w:szCs w:val="24"/>
          <w:lang w:val="en-US"/>
        </w:rPr>
        <w:t xml:space="preserve">, with the actions of individuals and other governments taken as given.  Based upon the information available at the time of the first lockdown in March, the cost </w:t>
      </w:r>
      <w:r w:rsidR="004B67D0">
        <w:rPr>
          <w:rFonts w:ascii="Times New Roman" w:hAnsi="Times New Roman" w:cs="Times New Roman"/>
          <w:sz w:val="24"/>
          <w:szCs w:val="24"/>
          <w:lang w:val="en-US"/>
        </w:rPr>
        <w:t xml:space="preserve">in the form of GDP losses </w:t>
      </w:r>
      <w:r>
        <w:rPr>
          <w:rFonts w:ascii="Times New Roman" w:hAnsi="Times New Roman" w:cs="Times New Roman"/>
          <w:sz w:val="24"/>
          <w:szCs w:val="24"/>
          <w:lang w:val="en-US"/>
        </w:rPr>
        <w:t xml:space="preserve">per </w:t>
      </w:r>
      <w:r w:rsidR="00824913">
        <w:rPr>
          <w:rFonts w:ascii="Times New Roman" w:hAnsi="Times New Roman" w:cs="Times New Roman"/>
          <w:sz w:val="24"/>
          <w:szCs w:val="24"/>
          <w:lang w:val="en-US"/>
        </w:rPr>
        <w:t>Quality Adjusted Life Year (</w:t>
      </w:r>
      <w:r>
        <w:rPr>
          <w:rFonts w:ascii="Times New Roman" w:hAnsi="Times New Roman" w:cs="Times New Roman"/>
          <w:sz w:val="24"/>
          <w:szCs w:val="24"/>
          <w:lang w:val="en-US"/>
        </w:rPr>
        <w:t>QALY</w:t>
      </w:r>
      <w:r w:rsidR="00824913">
        <w:rPr>
          <w:rFonts w:ascii="Times New Roman" w:hAnsi="Times New Roman" w:cs="Times New Roman"/>
          <w:sz w:val="24"/>
          <w:szCs w:val="24"/>
          <w:lang w:val="en-US"/>
        </w:rPr>
        <w:t>)</w:t>
      </w:r>
      <w:r>
        <w:rPr>
          <w:rFonts w:ascii="Times New Roman" w:hAnsi="Times New Roman" w:cs="Times New Roman"/>
          <w:sz w:val="24"/>
          <w:szCs w:val="24"/>
          <w:lang w:val="en-US"/>
        </w:rPr>
        <w:t xml:space="preserve"> saved from doing so was well in excess of </w:t>
      </w:r>
      <w:r w:rsidR="004B67D0">
        <w:rPr>
          <w:rFonts w:ascii="Times New Roman" w:hAnsi="Times New Roman" w:cs="Times New Roman"/>
          <w:sz w:val="24"/>
          <w:szCs w:val="24"/>
          <w:lang w:val="en-US"/>
        </w:rPr>
        <w:t xml:space="preserve">all </w:t>
      </w:r>
      <w:r>
        <w:rPr>
          <w:rFonts w:ascii="Times New Roman" w:hAnsi="Times New Roman" w:cs="Times New Roman"/>
          <w:sz w:val="24"/>
          <w:szCs w:val="24"/>
          <w:lang w:val="en-US"/>
        </w:rPr>
        <w:t>generally used values for a QALY</w:t>
      </w:r>
      <w:r w:rsidR="00F9201B">
        <w:rPr>
          <w:rFonts w:ascii="Times New Roman" w:hAnsi="Times New Roman" w:cs="Times New Roman"/>
          <w:sz w:val="24"/>
          <w:szCs w:val="24"/>
          <w:lang w:val="en-US"/>
        </w:rPr>
        <w:t xml:space="preserve">, and therefore </w:t>
      </w:r>
      <w:r w:rsidR="00BE2484">
        <w:rPr>
          <w:rFonts w:ascii="Times New Roman" w:hAnsi="Times New Roman" w:cs="Times New Roman"/>
          <w:sz w:val="24"/>
          <w:szCs w:val="24"/>
          <w:lang w:val="en-US"/>
        </w:rPr>
        <w:t xml:space="preserve">the lockdown policy was </w:t>
      </w:r>
      <w:r w:rsidR="00F9201B">
        <w:rPr>
          <w:rFonts w:ascii="Times New Roman" w:hAnsi="Times New Roman" w:cs="Times New Roman"/>
          <w:sz w:val="24"/>
          <w:szCs w:val="24"/>
          <w:lang w:val="en-US"/>
        </w:rPr>
        <w:t>inconsistent with those generally used values</w:t>
      </w:r>
      <w:r>
        <w:rPr>
          <w:rFonts w:ascii="Times New Roman" w:hAnsi="Times New Roman" w:cs="Times New Roman"/>
          <w:sz w:val="24"/>
          <w:szCs w:val="24"/>
          <w:lang w:val="en-US"/>
        </w:rPr>
        <w:t xml:space="preserve">.  Consideration of alternative parameter values and recognition of factors omitted from the analysis </w:t>
      </w:r>
      <w:r w:rsidR="00824913">
        <w:rPr>
          <w:rFonts w:ascii="Times New Roman" w:hAnsi="Times New Roman" w:cs="Times New Roman"/>
          <w:sz w:val="24"/>
          <w:szCs w:val="24"/>
          <w:lang w:val="en-US"/>
        </w:rPr>
        <w:t xml:space="preserve">would not likely </w:t>
      </w:r>
      <w:r>
        <w:rPr>
          <w:rFonts w:ascii="Times New Roman" w:hAnsi="Times New Roman" w:cs="Times New Roman"/>
          <w:sz w:val="24"/>
          <w:szCs w:val="24"/>
          <w:lang w:val="en-US"/>
        </w:rPr>
        <w:t xml:space="preserve">reverse this conclusion.  Taking account of information that has since become available </w:t>
      </w:r>
      <w:r w:rsidR="0058624B">
        <w:rPr>
          <w:rFonts w:ascii="Times New Roman" w:hAnsi="Times New Roman" w:cs="Times New Roman"/>
          <w:sz w:val="24"/>
          <w:szCs w:val="24"/>
          <w:lang w:val="en-US"/>
        </w:rPr>
        <w:t xml:space="preserve">strongly </w:t>
      </w:r>
      <w:r>
        <w:rPr>
          <w:rFonts w:ascii="Times New Roman" w:hAnsi="Times New Roman" w:cs="Times New Roman"/>
          <w:sz w:val="24"/>
          <w:szCs w:val="24"/>
          <w:lang w:val="en-US"/>
        </w:rPr>
        <w:t>reinforces this conclusion.</w:t>
      </w:r>
      <w:r w:rsidR="002C34F8">
        <w:rPr>
          <w:rFonts w:ascii="Times New Roman" w:hAnsi="Times New Roman" w:cs="Times New Roman"/>
          <w:sz w:val="24"/>
          <w:szCs w:val="24"/>
          <w:lang w:val="en-US"/>
        </w:rPr>
        <w:t xml:space="preserve">  Applying the same analysis to the Auckland lockdown, </w:t>
      </w:r>
      <w:r w:rsidR="00944D36">
        <w:rPr>
          <w:rFonts w:ascii="Times New Roman" w:hAnsi="Times New Roman" w:cs="Times New Roman"/>
          <w:sz w:val="24"/>
          <w:szCs w:val="24"/>
          <w:lang w:val="en-US"/>
        </w:rPr>
        <w:t>it is not possible to clearly conclude either way on the merits of that decision</w:t>
      </w:r>
      <w:r w:rsidR="00D60562">
        <w:rPr>
          <w:rFonts w:ascii="Times New Roman" w:hAnsi="Times New Roman" w:cs="Times New Roman"/>
          <w:sz w:val="24"/>
          <w:szCs w:val="24"/>
          <w:lang w:val="en-US"/>
        </w:rPr>
        <w:t xml:space="preserve"> based upon information available both at the time and subsequently.</w:t>
      </w:r>
      <w:r w:rsidR="002C34F8">
        <w:rPr>
          <w:rFonts w:ascii="Times New Roman" w:hAnsi="Times New Roman" w:cs="Times New Roman"/>
          <w:sz w:val="24"/>
          <w:szCs w:val="24"/>
          <w:lang w:val="en-US"/>
        </w:rPr>
        <w:t xml:space="preserve">  </w:t>
      </w:r>
      <w:r w:rsidR="00A54C6B">
        <w:rPr>
          <w:rFonts w:ascii="Times New Roman" w:hAnsi="Times New Roman" w:cs="Times New Roman"/>
          <w:sz w:val="24"/>
          <w:szCs w:val="24"/>
          <w:lang w:val="en-US"/>
        </w:rPr>
        <w:t xml:space="preserve">Applying the same analysis to </w:t>
      </w:r>
      <w:r w:rsidR="0058624B">
        <w:rPr>
          <w:rFonts w:ascii="Times New Roman" w:hAnsi="Times New Roman" w:cs="Times New Roman"/>
          <w:sz w:val="24"/>
          <w:szCs w:val="24"/>
          <w:lang w:val="en-US"/>
        </w:rPr>
        <w:t xml:space="preserve">the possibility of </w:t>
      </w:r>
      <w:r w:rsidR="00737960">
        <w:rPr>
          <w:rFonts w:ascii="Times New Roman" w:hAnsi="Times New Roman" w:cs="Times New Roman"/>
          <w:sz w:val="24"/>
          <w:szCs w:val="24"/>
          <w:lang w:val="en-US"/>
        </w:rPr>
        <w:t xml:space="preserve">future </w:t>
      </w:r>
      <w:r w:rsidR="00616B98">
        <w:rPr>
          <w:rFonts w:ascii="Times New Roman" w:hAnsi="Times New Roman" w:cs="Times New Roman"/>
          <w:sz w:val="24"/>
          <w:szCs w:val="24"/>
          <w:lang w:val="en-US"/>
        </w:rPr>
        <w:t xml:space="preserve">outbreaks </w:t>
      </w:r>
      <w:r w:rsidR="0058624B">
        <w:rPr>
          <w:rFonts w:ascii="Times New Roman" w:hAnsi="Times New Roman" w:cs="Times New Roman"/>
          <w:sz w:val="24"/>
          <w:szCs w:val="24"/>
          <w:lang w:val="en-US"/>
        </w:rPr>
        <w:t xml:space="preserve">that could not be </w:t>
      </w:r>
      <w:r w:rsidR="00616B98">
        <w:rPr>
          <w:rFonts w:ascii="Times New Roman" w:hAnsi="Times New Roman" w:cs="Times New Roman"/>
          <w:sz w:val="24"/>
          <w:szCs w:val="24"/>
          <w:lang w:val="en-US"/>
        </w:rPr>
        <w:t>contained</w:t>
      </w:r>
      <w:r w:rsidR="0058624B">
        <w:rPr>
          <w:rFonts w:ascii="Times New Roman" w:hAnsi="Times New Roman" w:cs="Times New Roman"/>
          <w:sz w:val="24"/>
          <w:szCs w:val="24"/>
          <w:lang w:val="en-US"/>
        </w:rPr>
        <w:t xml:space="preserve"> </w:t>
      </w:r>
      <w:r w:rsidR="00616B98">
        <w:rPr>
          <w:rFonts w:ascii="Times New Roman" w:hAnsi="Times New Roman" w:cs="Times New Roman"/>
          <w:sz w:val="24"/>
          <w:szCs w:val="24"/>
          <w:lang w:val="en-US"/>
        </w:rPr>
        <w:t>with only quarantining of cases</w:t>
      </w:r>
      <w:r w:rsidR="0058624B">
        <w:rPr>
          <w:rFonts w:ascii="Times New Roman" w:hAnsi="Times New Roman" w:cs="Times New Roman"/>
          <w:sz w:val="24"/>
          <w:szCs w:val="24"/>
          <w:lang w:val="en-US"/>
        </w:rPr>
        <w:t xml:space="preserve">, </w:t>
      </w:r>
      <w:r w:rsidR="00616B98">
        <w:rPr>
          <w:rFonts w:ascii="Times New Roman" w:hAnsi="Times New Roman" w:cs="Times New Roman"/>
          <w:sz w:val="24"/>
          <w:szCs w:val="24"/>
          <w:lang w:val="en-US"/>
        </w:rPr>
        <w:t xml:space="preserve">lockdowns </w:t>
      </w:r>
      <w:r w:rsidR="00215B4D">
        <w:rPr>
          <w:rFonts w:ascii="Times New Roman" w:hAnsi="Times New Roman" w:cs="Times New Roman"/>
          <w:sz w:val="24"/>
          <w:szCs w:val="24"/>
          <w:lang w:val="en-US"/>
        </w:rPr>
        <w:t xml:space="preserve">might </w:t>
      </w:r>
      <w:r w:rsidR="0058624B">
        <w:rPr>
          <w:rFonts w:ascii="Times New Roman" w:hAnsi="Times New Roman" w:cs="Times New Roman"/>
          <w:sz w:val="24"/>
          <w:szCs w:val="24"/>
          <w:lang w:val="en-US"/>
        </w:rPr>
        <w:t xml:space="preserve">be justified if the proportion of the </w:t>
      </w:r>
      <w:r w:rsidR="00D67949">
        <w:rPr>
          <w:rFonts w:ascii="Times New Roman" w:hAnsi="Times New Roman" w:cs="Times New Roman"/>
          <w:sz w:val="24"/>
          <w:szCs w:val="24"/>
          <w:lang w:val="en-US"/>
        </w:rPr>
        <w:t xml:space="preserve">national GDP generated by the region subject to lockdown </w:t>
      </w:r>
      <w:r w:rsidR="0058624B">
        <w:rPr>
          <w:rFonts w:ascii="Times New Roman" w:hAnsi="Times New Roman" w:cs="Times New Roman"/>
          <w:sz w:val="24"/>
          <w:szCs w:val="24"/>
          <w:lang w:val="en-US"/>
        </w:rPr>
        <w:t xml:space="preserve">were </w:t>
      </w:r>
      <w:r w:rsidR="00A26F78">
        <w:rPr>
          <w:rFonts w:ascii="Times New Roman" w:hAnsi="Times New Roman" w:cs="Times New Roman"/>
          <w:sz w:val="24"/>
          <w:szCs w:val="24"/>
          <w:lang w:val="en-US"/>
        </w:rPr>
        <w:t xml:space="preserve">sufficiently </w:t>
      </w:r>
      <w:r w:rsidR="0058624B">
        <w:rPr>
          <w:rFonts w:ascii="Times New Roman" w:hAnsi="Times New Roman" w:cs="Times New Roman"/>
          <w:sz w:val="24"/>
          <w:szCs w:val="24"/>
          <w:lang w:val="en-US"/>
        </w:rPr>
        <w:t xml:space="preserve">small </w:t>
      </w:r>
      <w:r w:rsidR="00320232">
        <w:rPr>
          <w:rFonts w:ascii="Times New Roman" w:hAnsi="Times New Roman" w:cs="Times New Roman"/>
          <w:sz w:val="24"/>
          <w:szCs w:val="24"/>
          <w:lang w:val="en-US"/>
        </w:rPr>
        <w:t>(wi</w:t>
      </w:r>
      <w:r w:rsidR="00A26F78">
        <w:rPr>
          <w:rFonts w:ascii="Times New Roman" w:hAnsi="Times New Roman" w:cs="Times New Roman"/>
          <w:sz w:val="24"/>
          <w:szCs w:val="24"/>
          <w:lang w:val="en-US"/>
        </w:rPr>
        <w:t xml:space="preserve">th </w:t>
      </w:r>
      <w:r w:rsidR="00320232">
        <w:rPr>
          <w:rFonts w:ascii="Times New Roman" w:hAnsi="Times New Roman" w:cs="Times New Roman"/>
          <w:sz w:val="24"/>
          <w:szCs w:val="24"/>
          <w:lang w:val="en-US"/>
        </w:rPr>
        <w:t xml:space="preserve">Auckland </w:t>
      </w:r>
      <w:r w:rsidR="00117682">
        <w:rPr>
          <w:rFonts w:ascii="Times New Roman" w:hAnsi="Times New Roman" w:cs="Times New Roman"/>
          <w:sz w:val="24"/>
          <w:szCs w:val="24"/>
          <w:lang w:val="en-US"/>
        </w:rPr>
        <w:t xml:space="preserve">currently </w:t>
      </w:r>
      <w:r w:rsidR="00A26F78">
        <w:rPr>
          <w:rFonts w:ascii="Times New Roman" w:hAnsi="Times New Roman" w:cs="Times New Roman"/>
          <w:sz w:val="24"/>
          <w:szCs w:val="24"/>
          <w:lang w:val="en-US"/>
        </w:rPr>
        <w:t>being the upper limit</w:t>
      </w:r>
      <w:r w:rsidR="00320232">
        <w:rPr>
          <w:rFonts w:ascii="Times New Roman" w:hAnsi="Times New Roman" w:cs="Times New Roman"/>
          <w:sz w:val="24"/>
          <w:szCs w:val="24"/>
          <w:lang w:val="en-US"/>
        </w:rPr>
        <w:t xml:space="preserve">) and </w:t>
      </w:r>
      <w:r w:rsidR="0092620F">
        <w:rPr>
          <w:rFonts w:ascii="Times New Roman" w:hAnsi="Times New Roman" w:cs="Times New Roman"/>
          <w:sz w:val="24"/>
          <w:szCs w:val="24"/>
          <w:lang w:val="en-US"/>
        </w:rPr>
        <w:t xml:space="preserve">the probability of conditions giving rise to a </w:t>
      </w:r>
      <w:r w:rsidR="007021B7">
        <w:rPr>
          <w:rFonts w:ascii="Times New Roman" w:hAnsi="Times New Roman" w:cs="Times New Roman"/>
          <w:sz w:val="24"/>
          <w:szCs w:val="24"/>
          <w:lang w:val="en-US"/>
        </w:rPr>
        <w:t xml:space="preserve">second future </w:t>
      </w:r>
      <w:r w:rsidR="0092620F">
        <w:rPr>
          <w:rFonts w:ascii="Times New Roman" w:hAnsi="Times New Roman" w:cs="Times New Roman"/>
          <w:sz w:val="24"/>
          <w:szCs w:val="24"/>
          <w:lang w:val="en-US"/>
        </w:rPr>
        <w:t>lockdown is not high</w:t>
      </w:r>
      <w:r w:rsidR="0058624B">
        <w:rPr>
          <w:rFonts w:ascii="Times New Roman" w:hAnsi="Times New Roman" w:cs="Times New Roman"/>
          <w:sz w:val="24"/>
          <w:szCs w:val="24"/>
          <w:lang w:val="en-US"/>
        </w:rPr>
        <w:t>.</w:t>
      </w:r>
      <w:r w:rsidR="00D67949" w:rsidRPr="00D67949">
        <w:rPr>
          <w:rFonts w:ascii="Times New Roman" w:hAnsi="Times New Roman" w:cs="Times New Roman"/>
          <w:sz w:val="24"/>
          <w:szCs w:val="24"/>
          <w:lang w:val="en-US"/>
        </w:rPr>
        <w:t xml:space="preserve"> </w:t>
      </w:r>
      <w:r w:rsidR="00D67949">
        <w:rPr>
          <w:rFonts w:ascii="Times New Roman" w:hAnsi="Times New Roman" w:cs="Times New Roman"/>
          <w:sz w:val="24"/>
          <w:szCs w:val="24"/>
          <w:lang w:val="en-US"/>
        </w:rPr>
        <w:t>As we move closer to the mass vaccination point in time, this proportion goes to zero.</w:t>
      </w:r>
    </w:p>
    <w:p w:rsidR="0058624B" w:rsidRDefault="0058624B" w:rsidP="0058624B">
      <w:pPr>
        <w:spacing w:after="0" w:line="240" w:lineRule="auto"/>
        <w:jc w:val="both"/>
        <w:rPr>
          <w:rFonts w:ascii="Times New Roman" w:hAnsi="Times New Roman" w:cs="Times New Roman"/>
          <w:sz w:val="24"/>
          <w:szCs w:val="24"/>
          <w:lang w:val="en-US"/>
        </w:rPr>
      </w:pPr>
    </w:p>
    <w:p w:rsidR="004A1C7C" w:rsidRDefault="004A1C7C" w:rsidP="004A1C7C">
      <w:pPr>
        <w:jc w:val="both"/>
        <w:rPr>
          <w:rFonts w:ascii="Times New Roman" w:hAnsi="Times New Roman" w:cs="Times New Roman"/>
          <w:sz w:val="24"/>
          <w:szCs w:val="24"/>
          <w:lang w:val="en-US"/>
        </w:rPr>
      </w:pPr>
    </w:p>
    <w:p w:rsidR="00EA65EA" w:rsidRDefault="00EA65EA">
      <w:pPr>
        <w:rPr>
          <w:rFonts w:ascii="Times New Roman" w:hAnsi="Times New Roman" w:cs="Times New Roman"/>
          <w:sz w:val="24"/>
          <w:szCs w:val="24"/>
          <w:lang w:val="en-US"/>
        </w:rPr>
      </w:pPr>
    </w:p>
    <w:p w:rsidR="008E319D" w:rsidRDefault="008E319D">
      <w:pPr>
        <w:rPr>
          <w:rFonts w:ascii="Times New Roman" w:hAnsi="Times New Roman" w:cs="Times New Roman"/>
          <w:sz w:val="24"/>
          <w:szCs w:val="24"/>
          <w:lang w:val="en-US"/>
        </w:rPr>
      </w:pPr>
    </w:p>
    <w:p w:rsidR="00957442" w:rsidRDefault="008E319D" w:rsidP="00616B9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helpful comments of </w:t>
      </w:r>
      <w:r w:rsidR="00E2591A">
        <w:rPr>
          <w:rFonts w:ascii="Times New Roman" w:hAnsi="Times New Roman" w:cs="Times New Roman"/>
          <w:sz w:val="24"/>
          <w:szCs w:val="24"/>
          <w:lang w:val="en-US"/>
        </w:rPr>
        <w:t xml:space="preserve">Glenn Boyle, </w:t>
      </w:r>
      <w:r>
        <w:rPr>
          <w:rFonts w:ascii="Times New Roman" w:hAnsi="Times New Roman" w:cs="Times New Roman"/>
          <w:sz w:val="24"/>
          <w:szCs w:val="24"/>
          <w:lang w:val="en-US"/>
        </w:rPr>
        <w:t xml:space="preserve">Amanda Breton, </w:t>
      </w:r>
      <w:r w:rsidR="000B558A">
        <w:rPr>
          <w:rFonts w:ascii="Times New Roman" w:hAnsi="Times New Roman" w:cs="Times New Roman"/>
          <w:sz w:val="24"/>
          <w:szCs w:val="24"/>
          <w:lang w:val="en-US"/>
        </w:rPr>
        <w:t xml:space="preserve">Paul </w:t>
      </w:r>
      <w:proofErr w:type="spellStart"/>
      <w:r w:rsidR="000B558A">
        <w:rPr>
          <w:rFonts w:ascii="Times New Roman" w:hAnsi="Times New Roman" w:cs="Times New Roman"/>
          <w:sz w:val="24"/>
          <w:szCs w:val="24"/>
          <w:lang w:val="en-US"/>
        </w:rPr>
        <w:t>Calcott</w:t>
      </w:r>
      <w:proofErr w:type="spellEnd"/>
      <w:r w:rsidR="000B558A">
        <w:rPr>
          <w:rFonts w:ascii="Times New Roman" w:hAnsi="Times New Roman" w:cs="Times New Roman"/>
          <w:sz w:val="24"/>
          <w:szCs w:val="24"/>
          <w:lang w:val="en-US"/>
        </w:rPr>
        <w:t xml:space="preserve">, </w:t>
      </w:r>
      <w:r w:rsidR="00AA4D2D">
        <w:rPr>
          <w:rFonts w:ascii="Times New Roman" w:hAnsi="Times New Roman" w:cs="Times New Roman"/>
          <w:sz w:val="24"/>
          <w:szCs w:val="24"/>
          <w:lang w:val="en-US"/>
        </w:rPr>
        <w:t xml:space="preserve">Eric Crampton, </w:t>
      </w:r>
      <w:r w:rsidR="0058465C">
        <w:rPr>
          <w:rFonts w:ascii="Times New Roman" w:hAnsi="Times New Roman" w:cs="Times New Roman"/>
          <w:sz w:val="24"/>
          <w:szCs w:val="24"/>
          <w:lang w:val="en-US"/>
        </w:rPr>
        <w:t xml:space="preserve">John Gibson, </w:t>
      </w:r>
      <w:r w:rsidR="00AD71FF">
        <w:rPr>
          <w:rFonts w:ascii="Times New Roman" w:hAnsi="Times New Roman" w:cs="Times New Roman"/>
          <w:sz w:val="24"/>
          <w:szCs w:val="24"/>
          <w:lang w:val="en-US"/>
        </w:rPr>
        <w:t xml:space="preserve">Dave </w:t>
      </w:r>
      <w:proofErr w:type="spellStart"/>
      <w:r w:rsidR="00AD71FF">
        <w:rPr>
          <w:rFonts w:ascii="Times New Roman" w:hAnsi="Times New Roman" w:cs="Times New Roman"/>
          <w:sz w:val="24"/>
          <w:szCs w:val="24"/>
          <w:lang w:val="en-US"/>
        </w:rPr>
        <w:t>Heatley</w:t>
      </w:r>
      <w:proofErr w:type="spellEnd"/>
      <w:r w:rsidR="00AD71F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Shaun Hendy, </w:t>
      </w:r>
      <w:r w:rsidR="0084792E">
        <w:rPr>
          <w:rFonts w:ascii="Times New Roman" w:hAnsi="Times New Roman" w:cs="Times New Roman"/>
          <w:sz w:val="24"/>
          <w:szCs w:val="24"/>
          <w:lang w:val="en-US"/>
        </w:rPr>
        <w:t xml:space="preserve">Mark Johnson, </w:t>
      </w:r>
      <w:r>
        <w:rPr>
          <w:rFonts w:ascii="Times New Roman" w:hAnsi="Times New Roman" w:cs="Times New Roman"/>
          <w:sz w:val="24"/>
          <w:szCs w:val="24"/>
          <w:lang w:val="en-US"/>
        </w:rPr>
        <w:t>Mi</w:t>
      </w:r>
      <w:r w:rsidR="005B38EB">
        <w:rPr>
          <w:rFonts w:ascii="Times New Roman" w:hAnsi="Times New Roman" w:cs="Times New Roman"/>
          <w:sz w:val="24"/>
          <w:szCs w:val="24"/>
          <w:lang w:val="en-US"/>
        </w:rPr>
        <w:t xml:space="preserve">chael </w:t>
      </w:r>
      <w:proofErr w:type="spellStart"/>
      <w:r w:rsidR="005B38EB">
        <w:rPr>
          <w:rFonts w:ascii="Times New Roman" w:hAnsi="Times New Roman" w:cs="Times New Roman"/>
          <w:sz w:val="24"/>
          <w:szCs w:val="24"/>
          <w:lang w:val="en-US"/>
        </w:rPr>
        <w:t>Reddell</w:t>
      </w:r>
      <w:proofErr w:type="spellEnd"/>
      <w:r w:rsidR="005B38EB">
        <w:rPr>
          <w:rFonts w:ascii="Times New Roman" w:hAnsi="Times New Roman" w:cs="Times New Roman"/>
          <w:sz w:val="24"/>
          <w:szCs w:val="24"/>
          <w:lang w:val="en-US"/>
        </w:rPr>
        <w:t xml:space="preserve">, </w:t>
      </w:r>
      <w:r w:rsidR="00957442">
        <w:rPr>
          <w:rFonts w:ascii="Times New Roman" w:hAnsi="Times New Roman" w:cs="Times New Roman"/>
          <w:sz w:val="24"/>
          <w:szCs w:val="24"/>
          <w:lang w:val="en-US"/>
        </w:rPr>
        <w:t xml:space="preserve">Jack Robles, </w:t>
      </w:r>
      <w:r w:rsidR="005B38EB">
        <w:rPr>
          <w:rFonts w:ascii="Times New Roman" w:hAnsi="Times New Roman" w:cs="Times New Roman"/>
          <w:sz w:val="24"/>
          <w:szCs w:val="24"/>
          <w:lang w:val="en-US"/>
        </w:rPr>
        <w:t xml:space="preserve">and Adrian Slack, and those of participants in a seminar at Victoria University on 18 September, </w:t>
      </w:r>
      <w:r>
        <w:rPr>
          <w:rFonts w:ascii="Times New Roman" w:hAnsi="Times New Roman" w:cs="Times New Roman"/>
          <w:sz w:val="24"/>
          <w:szCs w:val="24"/>
          <w:lang w:val="en-US"/>
        </w:rPr>
        <w:t>are gratefully acknowle</w:t>
      </w:r>
      <w:r w:rsidR="00E2591A">
        <w:rPr>
          <w:rFonts w:ascii="Times New Roman" w:hAnsi="Times New Roman" w:cs="Times New Roman"/>
          <w:sz w:val="24"/>
          <w:szCs w:val="24"/>
          <w:lang w:val="en-US"/>
        </w:rPr>
        <w:t>d</w:t>
      </w:r>
      <w:r>
        <w:rPr>
          <w:rFonts w:ascii="Times New Roman" w:hAnsi="Times New Roman" w:cs="Times New Roman"/>
          <w:sz w:val="24"/>
          <w:szCs w:val="24"/>
          <w:lang w:val="en-US"/>
        </w:rPr>
        <w:t>ged.</w:t>
      </w:r>
      <w:r w:rsidR="001D3A2D">
        <w:rPr>
          <w:rFonts w:ascii="Times New Roman" w:hAnsi="Times New Roman" w:cs="Times New Roman"/>
          <w:sz w:val="24"/>
          <w:szCs w:val="24"/>
          <w:lang w:val="en-US"/>
        </w:rPr>
        <w:t xml:space="preserve">  Agreement with the conclusions </w:t>
      </w:r>
      <w:r w:rsidR="00985D34">
        <w:rPr>
          <w:rFonts w:ascii="Times New Roman" w:hAnsi="Times New Roman" w:cs="Times New Roman"/>
          <w:sz w:val="24"/>
          <w:szCs w:val="24"/>
          <w:lang w:val="en-US"/>
        </w:rPr>
        <w:t xml:space="preserve">is not implied and </w:t>
      </w:r>
      <w:r w:rsidR="001D3A2D">
        <w:rPr>
          <w:rFonts w:ascii="Times New Roman" w:hAnsi="Times New Roman" w:cs="Times New Roman"/>
          <w:sz w:val="24"/>
          <w:szCs w:val="24"/>
          <w:lang w:val="en-US"/>
        </w:rPr>
        <w:t>should not be inferred.</w:t>
      </w:r>
      <w:r w:rsidR="00D67949">
        <w:rPr>
          <w:rFonts w:ascii="Times New Roman" w:hAnsi="Times New Roman" w:cs="Times New Roman"/>
          <w:sz w:val="24"/>
          <w:szCs w:val="24"/>
          <w:lang w:val="en-US"/>
        </w:rPr>
        <w:t xml:space="preserve"> </w:t>
      </w:r>
      <w:r w:rsidR="00957442">
        <w:rPr>
          <w:rFonts w:ascii="Times New Roman" w:hAnsi="Times New Roman" w:cs="Times New Roman"/>
          <w:sz w:val="24"/>
          <w:szCs w:val="24"/>
          <w:lang w:val="en-US"/>
        </w:rPr>
        <w:br w:type="page"/>
      </w:r>
    </w:p>
    <w:p w:rsidR="007C109B" w:rsidRDefault="000E3C5F" w:rsidP="007C109B">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w:t>
      </w:r>
      <w:r w:rsidR="007C109B">
        <w:rPr>
          <w:rFonts w:ascii="Times New Roman" w:hAnsi="Times New Roman" w:cs="Times New Roman"/>
          <w:b/>
          <w:sz w:val="24"/>
          <w:szCs w:val="24"/>
          <w:lang w:val="en-US"/>
        </w:rPr>
        <w:t>ntroduction</w:t>
      </w:r>
    </w:p>
    <w:p w:rsidR="007C109B" w:rsidRDefault="007C109B" w:rsidP="007C109B">
      <w:pPr>
        <w:spacing w:after="0" w:line="360" w:lineRule="auto"/>
        <w:jc w:val="both"/>
        <w:rPr>
          <w:rFonts w:ascii="Times New Roman" w:hAnsi="Times New Roman" w:cs="Times New Roman"/>
          <w:b/>
          <w:sz w:val="24"/>
          <w:szCs w:val="24"/>
          <w:lang w:val="en-US"/>
        </w:rPr>
      </w:pPr>
    </w:p>
    <w:p w:rsidR="007C109B" w:rsidRDefault="00975684" w:rsidP="007C109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with most other countries, </w:t>
      </w:r>
      <w:r w:rsidR="00B80370">
        <w:rPr>
          <w:rFonts w:ascii="Times New Roman" w:hAnsi="Times New Roman" w:cs="Times New Roman"/>
          <w:sz w:val="24"/>
          <w:szCs w:val="24"/>
          <w:lang w:val="en-US"/>
        </w:rPr>
        <w:t xml:space="preserve">early this year, </w:t>
      </w:r>
      <w:r>
        <w:rPr>
          <w:rFonts w:ascii="Times New Roman" w:hAnsi="Times New Roman" w:cs="Times New Roman"/>
          <w:sz w:val="24"/>
          <w:szCs w:val="24"/>
          <w:lang w:val="en-US"/>
        </w:rPr>
        <w:t xml:space="preserve">the New Zealand </w:t>
      </w:r>
      <w:r w:rsidR="00106B43">
        <w:rPr>
          <w:rFonts w:ascii="Times New Roman" w:hAnsi="Times New Roman" w:cs="Times New Roman"/>
          <w:sz w:val="24"/>
          <w:szCs w:val="24"/>
          <w:lang w:val="en-US"/>
        </w:rPr>
        <w:t xml:space="preserve">government </w:t>
      </w:r>
      <w:r>
        <w:rPr>
          <w:rFonts w:ascii="Times New Roman" w:hAnsi="Times New Roman" w:cs="Times New Roman"/>
          <w:sz w:val="24"/>
          <w:szCs w:val="24"/>
          <w:lang w:val="en-US"/>
        </w:rPr>
        <w:t xml:space="preserve">implemented a substantial curtailment of </w:t>
      </w:r>
      <w:r w:rsidR="00DB751B">
        <w:rPr>
          <w:rFonts w:ascii="Times New Roman" w:hAnsi="Times New Roman" w:cs="Times New Roman"/>
          <w:sz w:val="24"/>
          <w:szCs w:val="24"/>
          <w:lang w:val="en-US"/>
        </w:rPr>
        <w:t xml:space="preserve">normal </w:t>
      </w:r>
      <w:r>
        <w:rPr>
          <w:rFonts w:ascii="Times New Roman" w:hAnsi="Times New Roman" w:cs="Times New Roman"/>
          <w:sz w:val="24"/>
          <w:szCs w:val="24"/>
          <w:lang w:val="en-US"/>
        </w:rPr>
        <w:t xml:space="preserve">activities </w:t>
      </w:r>
      <w:r w:rsidR="00DB751B">
        <w:rPr>
          <w:rFonts w:ascii="Times New Roman" w:hAnsi="Times New Roman" w:cs="Times New Roman"/>
          <w:sz w:val="24"/>
          <w:szCs w:val="24"/>
          <w:lang w:val="en-US"/>
        </w:rPr>
        <w:t xml:space="preserve">in order to </w:t>
      </w:r>
      <w:r w:rsidR="007C109B">
        <w:rPr>
          <w:rFonts w:ascii="Times New Roman" w:hAnsi="Times New Roman" w:cs="Times New Roman"/>
          <w:sz w:val="24"/>
          <w:szCs w:val="24"/>
          <w:lang w:val="en-US"/>
        </w:rPr>
        <w:t>reduce the death toll from Covid-19</w:t>
      </w:r>
      <w:r>
        <w:rPr>
          <w:rFonts w:ascii="Times New Roman" w:hAnsi="Times New Roman" w:cs="Times New Roman"/>
          <w:sz w:val="24"/>
          <w:szCs w:val="24"/>
          <w:lang w:val="en-US"/>
        </w:rPr>
        <w:t xml:space="preserve"> (“lockdown”)</w:t>
      </w:r>
      <w:r w:rsidR="007C10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Since then, </w:t>
      </w:r>
      <w:r w:rsidR="0019560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curtailments have been </w:t>
      </w:r>
      <w:r w:rsidR="00662C8F">
        <w:rPr>
          <w:rFonts w:ascii="Times New Roman" w:hAnsi="Times New Roman" w:cs="Times New Roman"/>
          <w:sz w:val="24"/>
          <w:szCs w:val="24"/>
          <w:lang w:val="en-US"/>
        </w:rPr>
        <w:t xml:space="preserve">substantially relaxed, </w:t>
      </w:r>
      <w:r w:rsidR="002C46DC">
        <w:rPr>
          <w:rFonts w:ascii="Times New Roman" w:hAnsi="Times New Roman" w:cs="Times New Roman"/>
          <w:sz w:val="24"/>
          <w:szCs w:val="24"/>
          <w:lang w:val="en-US"/>
        </w:rPr>
        <w:t xml:space="preserve">apart from being </w:t>
      </w:r>
      <w:r w:rsidR="00662C8F">
        <w:rPr>
          <w:rFonts w:ascii="Times New Roman" w:hAnsi="Times New Roman" w:cs="Times New Roman"/>
          <w:sz w:val="24"/>
          <w:szCs w:val="24"/>
          <w:lang w:val="en-US"/>
        </w:rPr>
        <w:t xml:space="preserve">substantially </w:t>
      </w:r>
      <w:r w:rsidR="002C46DC">
        <w:rPr>
          <w:rFonts w:ascii="Times New Roman" w:hAnsi="Times New Roman" w:cs="Times New Roman"/>
          <w:sz w:val="24"/>
          <w:szCs w:val="24"/>
          <w:lang w:val="en-US"/>
        </w:rPr>
        <w:t xml:space="preserve">but temporarily </w:t>
      </w:r>
      <w:r w:rsidR="00662C8F">
        <w:rPr>
          <w:rFonts w:ascii="Times New Roman" w:hAnsi="Times New Roman" w:cs="Times New Roman"/>
          <w:sz w:val="24"/>
          <w:szCs w:val="24"/>
          <w:lang w:val="en-US"/>
        </w:rPr>
        <w:t>reinstated for the Auckland area</w:t>
      </w:r>
      <w:r>
        <w:rPr>
          <w:rFonts w:ascii="Times New Roman" w:hAnsi="Times New Roman" w:cs="Times New Roman"/>
          <w:sz w:val="24"/>
          <w:szCs w:val="24"/>
          <w:lang w:val="en-US"/>
        </w:rPr>
        <w:t xml:space="preserve">.  </w:t>
      </w:r>
      <w:r w:rsidR="007F12EB">
        <w:rPr>
          <w:rFonts w:ascii="Times New Roman" w:hAnsi="Times New Roman" w:cs="Times New Roman"/>
          <w:sz w:val="24"/>
          <w:szCs w:val="24"/>
          <w:lang w:val="en-US"/>
        </w:rPr>
        <w:t xml:space="preserve">This paper </w:t>
      </w:r>
      <w:r w:rsidR="001A016E">
        <w:rPr>
          <w:rFonts w:ascii="Times New Roman" w:hAnsi="Times New Roman" w:cs="Times New Roman"/>
          <w:sz w:val="24"/>
          <w:szCs w:val="24"/>
          <w:lang w:val="en-US"/>
        </w:rPr>
        <w:t xml:space="preserve">presumes that this </w:t>
      </w:r>
      <w:r w:rsidR="000436BA">
        <w:rPr>
          <w:rFonts w:ascii="Times New Roman" w:hAnsi="Times New Roman" w:cs="Times New Roman"/>
          <w:sz w:val="24"/>
          <w:szCs w:val="24"/>
          <w:lang w:val="en-US"/>
        </w:rPr>
        <w:t>lockdown</w:t>
      </w:r>
      <w:r w:rsidR="001A016E">
        <w:rPr>
          <w:rFonts w:ascii="Times New Roman" w:hAnsi="Times New Roman" w:cs="Times New Roman"/>
          <w:sz w:val="24"/>
          <w:szCs w:val="24"/>
          <w:lang w:val="en-US"/>
        </w:rPr>
        <w:t xml:space="preserve"> policy will save lives and </w:t>
      </w:r>
      <w:r w:rsidR="007F12EB">
        <w:rPr>
          <w:rFonts w:ascii="Times New Roman" w:hAnsi="Times New Roman" w:cs="Times New Roman"/>
          <w:sz w:val="24"/>
          <w:szCs w:val="24"/>
          <w:lang w:val="en-US"/>
        </w:rPr>
        <w:t xml:space="preserve">attempts to </w:t>
      </w:r>
      <w:r w:rsidR="007C109B">
        <w:rPr>
          <w:rFonts w:ascii="Times New Roman" w:hAnsi="Times New Roman" w:cs="Times New Roman"/>
          <w:sz w:val="24"/>
          <w:szCs w:val="24"/>
          <w:lang w:val="en-US"/>
        </w:rPr>
        <w:t xml:space="preserve">estimate the cost of </w:t>
      </w:r>
      <w:r w:rsidR="007F12EB">
        <w:rPr>
          <w:rFonts w:ascii="Times New Roman" w:hAnsi="Times New Roman" w:cs="Times New Roman"/>
          <w:sz w:val="24"/>
          <w:szCs w:val="24"/>
          <w:lang w:val="en-US"/>
        </w:rPr>
        <w:t xml:space="preserve">such a policy </w:t>
      </w:r>
      <w:r w:rsidR="007C109B">
        <w:rPr>
          <w:rFonts w:ascii="Times New Roman" w:hAnsi="Times New Roman" w:cs="Times New Roman"/>
          <w:sz w:val="24"/>
          <w:szCs w:val="24"/>
          <w:lang w:val="en-US"/>
        </w:rPr>
        <w:t>(</w:t>
      </w:r>
      <w:r w:rsidR="00AF5F69">
        <w:rPr>
          <w:rFonts w:ascii="Times New Roman" w:hAnsi="Times New Roman" w:cs="Times New Roman"/>
          <w:sz w:val="24"/>
          <w:szCs w:val="24"/>
          <w:lang w:val="en-US"/>
        </w:rPr>
        <w:t xml:space="preserve">especially in </w:t>
      </w:r>
      <w:r w:rsidR="007C109B">
        <w:rPr>
          <w:rFonts w:ascii="Times New Roman" w:hAnsi="Times New Roman" w:cs="Times New Roman"/>
          <w:sz w:val="24"/>
          <w:szCs w:val="24"/>
          <w:lang w:val="en-US"/>
        </w:rPr>
        <w:t xml:space="preserve">terms of </w:t>
      </w:r>
      <w:r w:rsidR="00106B43">
        <w:rPr>
          <w:rFonts w:ascii="Times New Roman" w:hAnsi="Times New Roman" w:cs="Times New Roman"/>
          <w:sz w:val="24"/>
          <w:szCs w:val="24"/>
          <w:lang w:val="en-US"/>
        </w:rPr>
        <w:t xml:space="preserve">the </w:t>
      </w:r>
      <w:r w:rsidR="007C109B">
        <w:rPr>
          <w:rFonts w:ascii="Times New Roman" w:hAnsi="Times New Roman" w:cs="Times New Roman"/>
          <w:sz w:val="24"/>
          <w:szCs w:val="24"/>
          <w:lang w:val="en-US"/>
        </w:rPr>
        <w:t xml:space="preserve">GDP losses) relative to the additional lives saved, so as to compare this to </w:t>
      </w:r>
      <w:r w:rsidR="00920F1C">
        <w:rPr>
          <w:rFonts w:ascii="Times New Roman" w:hAnsi="Times New Roman" w:cs="Times New Roman"/>
          <w:sz w:val="24"/>
          <w:szCs w:val="24"/>
          <w:lang w:val="en-US"/>
        </w:rPr>
        <w:t xml:space="preserve">generally </w:t>
      </w:r>
      <w:r w:rsidR="007C109B">
        <w:rPr>
          <w:rFonts w:ascii="Times New Roman" w:hAnsi="Times New Roman" w:cs="Times New Roman"/>
          <w:sz w:val="24"/>
          <w:szCs w:val="24"/>
          <w:lang w:val="en-US"/>
        </w:rPr>
        <w:t xml:space="preserve">employed ratios for guiding public </w:t>
      </w:r>
      <w:r w:rsidR="00CD5EDF">
        <w:rPr>
          <w:rFonts w:ascii="Times New Roman" w:hAnsi="Times New Roman" w:cs="Times New Roman"/>
          <w:sz w:val="24"/>
          <w:szCs w:val="24"/>
          <w:lang w:val="en-US"/>
        </w:rPr>
        <w:t>h</w:t>
      </w:r>
      <w:r w:rsidR="005F66E8">
        <w:rPr>
          <w:rFonts w:ascii="Times New Roman" w:hAnsi="Times New Roman" w:cs="Times New Roman"/>
          <w:sz w:val="24"/>
          <w:szCs w:val="24"/>
          <w:lang w:val="en-US"/>
        </w:rPr>
        <w:t xml:space="preserve">ealth spending in </w:t>
      </w:r>
      <w:r w:rsidR="007C109B">
        <w:rPr>
          <w:rFonts w:ascii="Times New Roman" w:hAnsi="Times New Roman" w:cs="Times New Roman"/>
          <w:sz w:val="24"/>
          <w:szCs w:val="24"/>
          <w:lang w:val="en-US"/>
        </w:rPr>
        <w:t>general.</w:t>
      </w:r>
      <w:r w:rsidR="004201EC">
        <w:rPr>
          <w:rFonts w:ascii="Times New Roman" w:hAnsi="Times New Roman" w:cs="Times New Roman"/>
          <w:sz w:val="24"/>
          <w:szCs w:val="24"/>
          <w:lang w:val="en-US"/>
        </w:rPr>
        <w:t xml:space="preserve">  It </w:t>
      </w:r>
      <w:r w:rsidR="009D5380">
        <w:rPr>
          <w:rFonts w:ascii="Times New Roman" w:hAnsi="Times New Roman" w:cs="Times New Roman"/>
          <w:sz w:val="24"/>
          <w:szCs w:val="24"/>
          <w:lang w:val="en-US"/>
        </w:rPr>
        <w:t xml:space="preserve">also conducts this exercise at </w:t>
      </w:r>
      <w:r w:rsidR="00E01D21">
        <w:rPr>
          <w:rFonts w:ascii="Times New Roman" w:hAnsi="Times New Roman" w:cs="Times New Roman"/>
          <w:sz w:val="24"/>
          <w:szCs w:val="24"/>
          <w:lang w:val="en-US"/>
        </w:rPr>
        <w:t xml:space="preserve">four </w:t>
      </w:r>
      <w:r w:rsidR="009D5380">
        <w:rPr>
          <w:rFonts w:ascii="Times New Roman" w:hAnsi="Times New Roman" w:cs="Times New Roman"/>
          <w:sz w:val="24"/>
          <w:szCs w:val="24"/>
          <w:lang w:val="en-US"/>
        </w:rPr>
        <w:t xml:space="preserve">different points: </w:t>
      </w:r>
      <w:r w:rsidR="003626D7">
        <w:rPr>
          <w:rFonts w:ascii="Times New Roman" w:hAnsi="Times New Roman" w:cs="Times New Roman"/>
          <w:sz w:val="24"/>
          <w:szCs w:val="24"/>
          <w:lang w:val="en-US"/>
        </w:rPr>
        <w:t xml:space="preserve">a forward-looking exercise </w:t>
      </w:r>
      <w:r w:rsidR="009D5380">
        <w:rPr>
          <w:rFonts w:ascii="Times New Roman" w:hAnsi="Times New Roman" w:cs="Times New Roman"/>
          <w:sz w:val="24"/>
          <w:szCs w:val="24"/>
          <w:lang w:val="en-US"/>
        </w:rPr>
        <w:t xml:space="preserve">at the time </w:t>
      </w:r>
      <w:r w:rsidR="002D106E">
        <w:rPr>
          <w:rFonts w:ascii="Times New Roman" w:hAnsi="Times New Roman" w:cs="Times New Roman"/>
          <w:sz w:val="24"/>
          <w:szCs w:val="24"/>
          <w:lang w:val="en-US"/>
        </w:rPr>
        <w:t>of the first lockdown</w:t>
      </w:r>
      <w:r w:rsidR="00DC0BF8">
        <w:rPr>
          <w:rFonts w:ascii="Times New Roman" w:hAnsi="Times New Roman" w:cs="Times New Roman"/>
          <w:sz w:val="24"/>
          <w:szCs w:val="24"/>
          <w:lang w:val="en-US"/>
        </w:rPr>
        <w:t xml:space="preserve"> (23</w:t>
      </w:r>
      <w:r w:rsidR="00DD25C1">
        <w:rPr>
          <w:rFonts w:ascii="Times New Roman" w:hAnsi="Times New Roman" w:cs="Times New Roman"/>
          <w:sz w:val="24"/>
          <w:szCs w:val="24"/>
          <w:lang w:val="en-US"/>
        </w:rPr>
        <w:t xml:space="preserve"> March), a retrospective view </w:t>
      </w:r>
      <w:r w:rsidR="005B38EB">
        <w:rPr>
          <w:rFonts w:ascii="Times New Roman" w:hAnsi="Times New Roman" w:cs="Times New Roman"/>
          <w:sz w:val="24"/>
          <w:szCs w:val="24"/>
          <w:lang w:val="en-US"/>
        </w:rPr>
        <w:t xml:space="preserve">of that decision, </w:t>
      </w:r>
      <w:r w:rsidR="00E01D21">
        <w:rPr>
          <w:rFonts w:ascii="Times New Roman" w:hAnsi="Times New Roman" w:cs="Times New Roman"/>
          <w:sz w:val="24"/>
          <w:szCs w:val="24"/>
          <w:lang w:val="en-US"/>
        </w:rPr>
        <w:t xml:space="preserve">a retrospective view of the second lockdown </w:t>
      </w:r>
      <w:r w:rsidR="00135B10">
        <w:rPr>
          <w:rFonts w:ascii="Times New Roman" w:hAnsi="Times New Roman" w:cs="Times New Roman"/>
          <w:sz w:val="24"/>
          <w:szCs w:val="24"/>
          <w:lang w:val="en-US"/>
        </w:rPr>
        <w:t xml:space="preserve">decision </w:t>
      </w:r>
      <w:r w:rsidR="00E01D21">
        <w:rPr>
          <w:rFonts w:ascii="Times New Roman" w:hAnsi="Times New Roman" w:cs="Times New Roman"/>
          <w:sz w:val="24"/>
          <w:szCs w:val="24"/>
          <w:lang w:val="en-US"/>
        </w:rPr>
        <w:t xml:space="preserve">on 12 August, </w:t>
      </w:r>
      <w:r w:rsidR="00DD25C1">
        <w:rPr>
          <w:rFonts w:ascii="Times New Roman" w:hAnsi="Times New Roman" w:cs="Times New Roman"/>
          <w:sz w:val="24"/>
          <w:szCs w:val="24"/>
          <w:lang w:val="en-US"/>
        </w:rPr>
        <w:t xml:space="preserve">and a forward-looking view at the </w:t>
      </w:r>
      <w:r w:rsidR="00E01D21">
        <w:rPr>
          <w:rFonts w:ascii="Times New Roman" w:hAnsi="Times New Roman" w:cs="Times New Roman"/>
          <w:sz w:val="24"/>
          <w:szCs w:val="24"/>
          <w:lang w:val="en-US"/>
        </w:rPr>
        <w:t>present time</w:t>
      </w:r>
      <w:r w:rsidR="00EA65EA">
        <w:rPr>
          <w:rFonts w:ascii="Times New Roman" w:hAnsi="Times New Roman" w:cs="Times New Roman"/>
          <w:sz w:val="24"/>
          <w:szCs w:val="24"/>
          <w:lang w:val="en-US"/>
        </w:rPr>
        <w:t xml:space="preserve"> (30 November)</w:t>
      </w:r>
      <w:r w:rsidR="004201EC">
        <w:rPr>
          <w:rFonts w:ascii="Times New Roman" w:hAnsi="Times New Roman" w:cs="Times New Roman"/>
          <w:sz w:val="24"/>
          <w:szCs w:val="24"/>
          <w:lang w:val="en-US"/>
        </w:rPr>
        <w:t>.</w:t>
      </w:r>
    </w:p>
    <w:p w:rsidR="00E52F09" w:rsidRDefault="00E52F09" w:rsidP="007C109B">
      <w:pPr>
        <w:spacing w:after="0" w:line="360" w:lineRule="auto"/>
        <w:jc w:val="both"/>
        <w:rPr>
          <w:rFonts w:ascii="Times New Roman" w:hAnsi="Times New Roman" w:cs="Times New Roman"/>
          <w:sz w:val="24"/>
          <w:szCs w:val="24"/>
          <w:lang w:val="en-US"/>
        </w:rPr>
      </w:pPr>
    </w:p>
    <w:p w:rsidR="003626D7" w:rsidRPr="003626D7" w:rsidRDefault="00DC0BF8" w:rsidP="003626D7">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Looking Forwards on 23</w:t>
      </w:r>
      <w:r w:rsidR="003626D7">
        <w:rPr>
          <w:rFonts w:ascii="Times New Roman" w:hAnsi="Times New Roman" w:cs="Times New Roman"/>
          <w:b/>
          <w:sz w:val="24"/>
          <w:szCs w:val="24"/>
          <w:lang w:val="en-US"/>
        </w:rPr>
        <w:t xml:space="preserve"> March</w:t>
      </w:r>
    </w:p>
    <w:p w:rsidR="003626D7" w:rsidRPr="008C4B0B" w:rsidRDefault="008C4B0B" w:rsidP="007C109B">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2.1 Expected Deaths</w:t>
      </w:r>
    </w:p>
    <w:p w:rsidR="000C3135" w:rsidRDefault="002D106E" w:rsidP="001C5E1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the time </w:t>
      </w:r>
      <w:r w:rsidR="0092740F">
        <w:rPr>
          <w:rFonts w:ascii="Times New Roman" w:hAnsi="Times New Roman" w:cs="Times New Roman"/>
          <w:sz w:val="24"/>
          <w:szCs w:val="24"/>
          <w:lang w:val="en-US"/>
        </w:rPr>
        <w:t>of the first lockdown</w:t>
      </w:r>
      <w:r w:rsidR="000C3135">
        <w:rPr>
          <w:rFonts w:ascii="Times New Roman" w:hAnsi="Times New Roman" w:cs="Times New Roman"/>
          <w:sz w:val="24"/>
          <w:szCs w:val="24"/>
          <w:lang w:val="en-US"/>
        </w:rPr>
        <w:t xml:space="preserve"> in New Zealand</w:t>
      </w:r>
      <w:r w:rsidR="0092740F">
        <w:rPr>
          <w:rFonts w:ascii="Times New Roman" w:hAnsi="Times New Roman" w:cs="Times New Roman"/>
          <w:sz w:val="24"/>
          <w:szCs w:val="24"/>
          <w:lang w:val="en-US"/>
        </w:rPr>
        <w:t xml:space="preserve">, death toll </w:t>
      </w:r>
      <w:r w:rsidR="001A016E">
        <w:rPr>
          <w:rFonts w:ascii="Times New Roman" w:hAnsi="Times New Roman" w:cs="Times New Roman"/>
          <w:sz w:val="24"/>
          <w:szCs w:val="24"/>
          <w:lang w:val="en-US"/>
        </w:rPr>
        <w:t xml:space="preserve">forecasts </w:t>
      </w:r>
      <w:r w:rsidR="0092740F">
        <w:rPr>
          <w:rFonts w:ascii="Times New Roman" w:hAnsi="Times New Roman" w:cs="Times New Roman"/>
          <w:sz w:val="24"/>
          <w:szCs w:val="24"/>
          <w:lang w:val="en-US"/>
        </w:rPr>
        <w:t xml:space="preserve">had </w:t>
      </w:r>
      <w:r w:rsidR="0019560F">
        <w:rPr>
          <w:rFonts w:ascii="Times New Roman" w:hAnsi="Times New Roman" w:cs="Times New Roman"/>
          <w:sz w:val="24"/>
          <w:szCs w:val="24"/>
          <w:lang w:val="en-US"/>
        </w:rPr>
        <w:t xml:space="preserve">already </w:t>
      </w:r>
      <w:r w:rsidR="0092740F">
        <w:rPr>
          <w:rFonts w:ascii="Times New Roman" w:hAnsi="Times New Roman" w:cs="Times New Roman"/>
          <w:sz w:val="24"/>
          <w:szCs w:val="24"/>
          <w:lang w:val="en-US"/>
        </w:rPr>
        <w:t xml:space="preserve">been presented by Ferguson et al (2020) for the UK.  They estimated that a China style “suppression” policy (which might have to be maintained for several months) would yield about 20,000 deaths in the UK (ibid, Table 4) whilst that from a much milder “mitigation” policy (involving </w:t>
      </w:r>
      <w:r w:rsidR="009F1B39">
        <w:rPr>
          <w:rFonts w:ascii="Times New Roman" w:hAnsi="Times New Roman" w:cs="Times New Roman"/>
          <w:sz w:val="24"/>
          <w:szCs w:val="24"/>
          <w:lang w:val="en-US"/>
        </w:rPr>
        <w:t xml:space="preserve">case </w:t>
      </w:r>
      <w:r w:rsidR="0092740F">
        <w:rPr>
          <w:rFonts w:ascii="Times New Roman" w:hAnsi="Times New Roman" w:cs="Times New Roman"/>
          <w:sz w:val="24"/>
          <w:szCs w:val="24"/>
          <w:lang w:val="en-US"/>
        </w:rPr>
        <w:t>isolation</w:t>
      </w:r>
      <w:r w:rsidR="009F1B39">
        <w:rPr>
          <w:rFonts w:ascii="Times New Roman" w:hAnsi="Times New Roman" w:cs="Times New Roman"/>
          <w:sz w:val="24"/>
          <w:szCs w:val="24"/>
          <w:lang w:val="en-US"/>
        </w:rPr>
        <w:t>, quarantining</w:t>
      </w:r>
      <w:r w:rsidR="0092740F">
        <w:rPr>
          <w:rFonts w:ascii="Times New Roman" w:hAnsi="Times New Roman" w:cs="Times New Roman"/>
          <w:sz w:val="24"/>
          <w:szCs w:val="24"/>
          <w:lang w:val="en-US"/>
        </w:rPr>
        <w:t xml:space="preserve"> of </w:t>
      </w:r>
      <w:r w:rsidR="009F1B39">
        <w:rPr>
          <w:rFonts w:ascii="Times New Roman" w:hAnsi="Times New Roman" w:cs="Times New Roman"/>
          <w:sz w:val="24"/>
          <w:szCs w:val="24"/>
          <w:lang w:val="en-US"/>
        </w:rPr>
        <w:t>members of their households, and social distancing for the elderly</w:t>
      </w:r>
      <w:r w:rsidR="0092740F">
        <w:rPr>
          <w:rFonts w:ascii="Times New Roman" w:hAnsi="Times New Roman" w:cs="Times New Roman"/>
          <w:sz w:val="24"/>
          <w:szCs w:val="24"/>
          <w:lang w:val="en-US"/>
        </w:rPr>
        <w:t xml:space="preserve">) would yield about 250,000 deaths (ibid, page 16).  Ferguson et al therefore recommended suppression, and their recommendation appears to have significantly influenced UK government policy.  However, and remarkably, the paper contains no information on the costs of adopting a suppression </w:t>
      </w:r>
      <w:r w:rsidR="00E63F9F">
        <w:rPr>
          <w:rFonts w:ascii="Times New Roman" w:hAnsi="Times New Roman" w:cs="Times New Roman"/>
          <w:sz w:val="24"/>
          <w:szCs w:val="24"/>
          <w:lang w:val="en-US"/>
        </w:rPr>
        <w:t xml:space="preserve">policy </w:t>
      </w:r>
      <w:r w:rsidR="0092740F">
        <w:rPr>
          <w:rFonts w:ascii="Times New Roman" w:hAnsi="Times New Roman" w:cs="Times New Roman"/>
          <w:sz w:val="24"/>
          <w:szCs w:val="24"/>
          <w:lang w:val="en-US"/>
        </w:rPr>
        <w:t xml:space="preserve">rather than a mitigation policy.  Implicitly, their goal seems to </w:t>
      </w:r>
      <w:r w:rsidR="00E63F9F">
        <w:rPr>
          <w:rFonts w:ascii="Times New Roman" w:hAnsi="Times New Roman" w:cs="Times New Roman"/>
          <w:sz w:val="24"/>
          <w:szCs w:val="24"/>
          <w:lang w:val="en-US"/>
        </w:rPr>
        <w:t xml:space="preserve">have been </w:t>
      </w:r>
      <w:r w:rsidR="0092740F">
        <w:rPr>
          <w:rFonts w:ascii="Times New Roman" w:hAnsi="Times New Roman" w:cs="Times New Roman"/>
          <w:sz w:val="24"/>
          <w:szCs w:val="24"/>
          <w:lang w:val="en-US"/>
        </w:rPr>
        <w:t xml:space="preserve">to minimize the number of deaths regardless of the cost.  This is not a rational goal, </w:t>
      </w:r>
      <w:r w:rsidR="00DD0076">
        <w:rPr>
          <w:rFonts w:ascii="Times New Roman" w:hAnsi="Times New Roman" w:cs="Times New Roman"/>
          <w:sz w:val="24"/>
          <w:szCs w:val="24"/>
          <w:lang w:val="en-US"/>
        </w:rPr>
        <w:t xml:space="preserve">it is inconsistent with the small GDP share allocated to health care in every society, </w:t>
      </w:r>
      <w:r w:rsidR="0092740F">
        <w:rPr>
          <w:rFonts w:ascii="Times New Roman" w:hAnsi="Times New Roman" w:cs="Times New Roman"/>
          <w:sz w:val="24"/>
          <w:szCs w:val="24"/>
          <w:lang w:val="en-US"/>
        </w:rPr>
        <w:t>and could involve inflicting on a country a ‘cure that was worse than the disease’.</w:t>
      </w:r>
      <w:r w:rsidR="001C5E11">
        <w:rPr>
          <w:rFonts w:ascii="Times New Roman" w:hAnsi="Times New Roman" w:cs="Times New Roman"/>
          <w:sz w:val="24"/>
          <w:szCs w:val="24"/>
          <w:lang w:val="en-US"/>
        </w:rPr>
        <w:t xml:space="preserve">  </w:t>
      </w:r>
    </w:p>
    <w:p w:rsidR="000C3135" w:rsidRDefault="000C3135" w:rsidP="001C5E11">
      <w:pPr>
        <w:spacing w:after="0" w:line="360" w:lineRule="auto"/>
        <w:jc w:val="both"/>
        <w:rPr>
          <w:rFonts w:ascii="Times New Roman" w:hAnsi="Times New Roman" w:cs="Times New Roman"/>
          <w:sz w:val="24"/>
          <w:szCs w:val="24"/>
          <w:lang w:val="en-US"/>
        </w:rPr>
      </w:pPr>
    </w:p>
    <w:p w:rsidR="001C5E11" w:rsidRDefault="001C5E11" w:rsidP="001C5E1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Applied to New Zealand, Ferguson et </w:t>
      </w:r>
      <w:proofErr w:type="spellStart"/>
      <w:r>
        <w:rPr>
          <w:rFonts w:ascii="Times New Roman" w:hAnsi="Times New Roman" w:cs="Times New Roman"/>
          <w:sz w:val="24"/>
          <w:szCs w:val="24"/>
          <w:lang w:val="en-US"/>
        </w:rPr>
        <w:t>al’s</w:t>
      </w:r>
      <w:proofErr w:type="spellEnd"/>
      <w:r>
        <w:rPr>
          <w:rFonts w:ascii="Times New Roman" w:hAnsi="Times New Roman" w:cs="Times New Roman"/>
          <w:sz w:val="24"/>
          <w:szCs w:val="24"/>
          <w:lang w:val="en-US"/>
        </w:rPr>
        <w:t xml:space="preserve"> (2020) expected saving in lives from a suppression policy rather than a mitigation policy (of 230,000) would translate into 17,000 lives </w:t>
      </w:r>
      <w:r w:rsidR="00E63F9F">
        <w:rPr>
          <w:rFonts w:ascii="Times New Roman" w:hAnsi="Times New Roman" w:cs="Times New Roman"/>
          <w:sz w:val="24"/>
          <w:szCs w:val="24"/>
          <w:lang w:val="en-US"/>
        </w:rPr>
        <w:t xml:space="preserve">saved in </w:t>
      </w:r>
      <w:r>
        <w:rPr>
          <w:rFonts w:ascii="Times New Roman" w:hAnsi="Times New Roman" w:cs="Times New Roman"/>
          <w:sz w:val="24"/>
          <w:szCs w:val="24"/>
          <w:lang w:val="en-US"/>
        </w:rPr>
        <w:t xml:space="preserve">New Zealand if the results here were proportional to the difference in populations (5m for NZ and 68m for the UK).  These 17,000 people would be mostly old and almost all would be </w:t>
      </w:r>
      <w:r>
        <w:rPr>
          <w:rFonts w:ascii="Times New Roman" w:hAnsi="Times New Roman" w:cs="Times New Roman"/>
          <w:sz w:val="24"/>
          <w:szCs w:val="24"/>
          <w:lang w:val="en-US"/>
        </w:rPr>
        <w:lastRenderedPageBreak/>
        <w:t>suffering from pre-existing conditions.</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Ferguson et al (2020, page 7) also estimate the casualties at 510,000 from no control measures, implying a worst case saving in lives from a suppression strategy over (totally ineffective) mitigation efforts at 490,000, implying a saving in</w:t>
      </w:r>
      <w:r w:rsidR="003750BA">
        <w:rPr>
          <w:rFonts w:ascii="Times New Roman" w:hAnsi="Times New Roman" w:cs="Times New Roman"/>
          <w:sz w:val="24"/>
          <w:szCs w:val="24"/>
          <w:lang w:val="en-US"/>
        </w:rPr>
        <w:t xml:space="preserve"> lives in New Zealand of 36,000.  As noted by Ferguson et al (2020, page 7), this presumes no change in people’s behavior in the face of the pandemic, which is extremely unrealistic.</w:t>
      </w:r>
    </w:p>
    <w:p w:rsidR="001C5E11" w:rsidRDefault="001C5E11" w:rsidP="001C5E11">
      <w:pPr>
        <w:spacing w:after="0" w:line="360" w:lineRule="auto"/>
        <w:jc w:val="both"/>
        <w:rPr>
          <w:rFonts w:ascii="Times New Roman" w:hAnsi="Times New Roman" w:cs="Times New Roman"/>
          <w:sz w:val="24"/>
          <w:szCs w:val="24"/>
          <w:lang w:val="en-US"/>
        </w:rPr>
      </w:pPr>
    </w:p>
    <w:p w:rsidR="001C5E11" w:rsidRDefault="00DA428C" w:rsidP="001C5E1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Shortly afterwards, and </w:t>
      </w:r>
      <w:r w:rsidR="007A638A">
        <w:rPr>
          <w:rFonts w:ascii="Times New Roman" w:hAnsi="Times New Roman" w:cs="Times New Roman"/>
          <w:sz w:val="24"/>
          <w:szCs w:val="24"/>
          <w:lang w:val="en-US"/>
        </w:rPr>
        <w:t xml:space="preserve">at the commencement of the </w:t>
      </w:r>
      <w:r w:rsidR="00E63F9F">
        <w:rPr>
          <w:rFonts w:ascii="Times New Roman" w:hAnsi="Times New Roman" w:cs="Times New Roman"/>
          <w:sz w:val="24"/>
          <w:szCs w:val="24"/>
          <w:lang w:val="en-US"/>
        </w:rPr>
        <w:t xml:space="preserve">first </w:t>
      </w:r>
      <w:r>
        <w:rPr>
          <w:rFonts w:ascii="Times New Roman" w:hAnsi="Times New Roman" w:cs="Times New Roman"/>
          <w:sz w:val="24"/>
          <w:szCs w:val="24"/>
          <w:lang w:val="en-US"/>
        </w:rPr>
        <w:t xml:space="preserve">lockdown here, </w:t>
      </w:r>
      <w:r w:rsidR="004B1499">
        <w:rPr>
          <w:rFonts w:ascii="Times New Roman" w:hAnsi="Times New Roman" w:cs="Times New Roman"/>
          <w:sz w:val="24"/>
          <w:szCs w:val="24"/>
          <w:lang w:val="en-US"/>
        </w:rPr>
        <w:t xml:space="preserve">predictions </w:t>
      </w:r>
      <w:r w:rsidR="001C5E11">
        <w:rPr>
          <w:rFonts w:ascii="Times New Roman" w:hAnsi="Times New Roman" w:cs="Times New Roman"/>
          <w:sz w:val="24"/>
          <w:szCs w:val="24"/>
          <w:lang w:val="en-US"/>
        </w:rPr>
        <w:t xml:space="preserve">for New Zealand </w:t>
      </w:r>
      <w:r w:rsidR="0019560F">
        <w:rPr>
          <w:rFonts w:ascii="Times New Roman" w:hAnsi="Times New Roman" w:cs="Times New Roman"/>
          <w:sz w:val="24"/>
          <w:szCs w:val="24"/>
          <w:lang w:val="en-US"/>
        </w:rPr>
        <w:t xml:space="preserve">were </w:t>
      </w:r>
      <w:r w:rsidR="00E63F9F">
        <w:rPr>
          <w:rFonts w:ascii="Times New Roman" w:hAnsi="Times New Roman" w:cs="Times New Roman"/>
          <w:sz w:val="24"/>
          <w:szCs w:val="24"/>
          <w:lang w:val="en-US"/>
        </w:rPr>
        <w:t xml:space="preserve">presented </w:t>
      </w:r>
      <w:r>
        <w:rPr>
          <w:rFonts w:ascii="Times New Roman" w:hAnsi="Times New Roman" w:cs="Times New Roman"/>
          <w:sz w:val="24"/>
          <w:szCs w:val="24"/>
          <w:lang w:val="en-US"/>
        </w:rPr>
        <w:t xml:space="preserve">by </w:t>
      </w:r>
      <w:r w:rsidR="001C5E11">
        <w:rPr>
          <w:rFonts w:ascii="Times New Roman" w:hAnsi="Times New Roman" w:cs="Times New Roman"/>
          <w:sz w:val="24"/>
          <w:szCs w:val="24"/>
          <w:lang w:val="en-US"/>
        </w:rPr>
        <w:t>Blakely et al (2020), who estimated the deaths from an “eradication” policy (</w:t>
      </w:r>
      <w:r w:rsidR="000436BA">
        <w:rPr>
          <w:rFonts w:ascii="Times New Roman" w:hAnsi="Times New Roman" w:cs="Times New Roman"/>
          <w:sz w:val="24"/>
          <w:szCs w:val="24"/>
          <w:lang w:val="en-US"/>
        </w:rPr>
        <w:t>equivalent to lockdown</w:t>
      </w:r>
      <w:r w:rsidR="001C5E11">
        <w:rPr>
          <w:rFonts w:ascii="Times New Roman" w:hAnsi="Times New Roman" w:cs="Times New Roman"/>
          <w:sz w:val="24"/>
          <w:szCs w:val="24"/>
          <w:lang w:val="en-US"/>
        </w:rPr>
        <w:t xml:space="preserve">) at 500 and those from a </w:t>
      </w:r>
      <w:r w:rsidR="00C4499B">
        <w:rPr>
          <w:rFonts w:ascii="Times New Roman" w:hAnsi="Times New Roman" w:cs="Times New Roman"/>
          <w:sz w:val="24"/>
          <w:szCs w:val="24"/>
          <w:lang w:val="en-US"/>
        </w:rPr>
        <w:t>“</w:t>
      </w:r>
      <w:r w:rsidR="001C5E11">
        <w:rPr>
          <w:rFonts w:ascii="Times New Roman" w:hAnsi="Times New Roman" w:cs="Times New Roman"/>
          <w:sz w:val="24"/>
          <w:szCs w:val="24"/>
          <w:lang w:val="en-US"/>
        </w:rPr>
        <w:t>mitigation</w:t>
      </w:r>
      <w:r w:rsidR="00C4499B">
        <w:rPr>
          <w:rFonts w:ascii="Times New Roman" w:hAnsi="Times New Roman" w:cs="Times New Roman"/>
          <w:sz w:val="24"/>
          <w:szCs w:val="24"/>
          <w:lang w:val="en-US"/>
        </w:rPr>
        <w:t>”</w:t>
      </w:r>
      <w:r w:rsidR="001C5E11">
        <w:rPr>
          <w:rFonts w:ascii="Times New Roman" w:hAnsi="Times New Roman" w:cs="Times New Roman"/>
          <w:sz w:val="24"/>
          <w:szCs w:val="24"/>
          <w:lang w:val="en-US"/>
        </w:rPr>
        <w:t xml:space="preserve"> policy </w:t>
      </w:r>
      <w:r w:rsidR="00F66897">
        <w:rPr>
          <w:rFonts w:ascii="Times New Roman" w:hAnsi="Times New Roman" w:cs="Times New Roman"/>
          <w:sz w:val="24"/>
          <w:szCs w:val="24"/>
          <w:lang w:val="en-US"/>
        </w:rPr>
        <w:t xml:space="preserve">(involving isolation of </w:t>
      </w:r>
      <w:r w:rsidR="009F1B39">
        <w:rPr>
          <w:rFonts w:ascii="Times New Roman" w:hAnsi="Times New Roman" w:cs="Times New Roman"/>
          <w:sz w:val="24"/>
          <w:szCs w:val="24"/>
          <w:lang w:val="en-US"/>
        </w:rPr>
        <w:t>the over 60s</w:t>
      </w:r>
      <w:r w:rsidR="00F66897">
        <w:rPr>
          <w:rFonts w:ascii="Times New Roman" w:hAnsi="Times New Roman" w:cs="Times New Roman"/>
          <w:sz w:val="24"/>
          <w:szCs w:val="24"/>
          <w:lang w:val="en-US"/>
        </w:rPr>
        <w:t xml:space="preserve">) </w:t>
      </w:r>
      <w:r w:rsidR="001C5E11">
        <w:rPr>
          <w:rFonts w:ascii="Times New Roman" w:hAnsi="Times New Roman" w:cs="Times New Roman"/>
          <w:sz w:val="24"/>
          <w:szCs w:val="24"/>
          <w:lang w:val="en-US"/>
        </w:rPr>
        <w:t>at 6,500-13,000.</w:t>
      </w:r>
      <w:r w:rsidR="009F1B39">
        <w:rPr>
          <w:rStyle w:val="FootnoteReference"/>
          <w:rFonts w:ascii="Times New Roman" w:hAnsi="Times New Roman" w:cs="Times New Roman"/>
          <w:sz w:val="24"/>
          <w:szCs w:val="24"/>
          <w:lang w:val="en-US"/>
        </w:rPr>
        <w:footnoteReference w:id="2"/>
      </w:r>
      <w:r w:rsidR="001C5E11">
        <w:rPr>
          <w:rFonts w:ascii="Times New Roman" w:hAnsi="Times New Roman" w:cs="Times New Roman"/>
          <w:sz w:val="24"/>
          <w:szCs w:val="24"/>
          <w:lang w:val="en-US"/>
        </w:rPr>
        <w:t xml:space="preserve">  The expected saving in lives from eradi</w:t>
      </w:r>
      <w:r w:rsidR="00E63F9F">
        <w:rPr>
          <w:rFonts w:ascii="Times New Roman" w:hAnsi="Times New Roman" w:cs="Times New Roman"/>
          <w:sz w:val="24"/>
          <w:szCs w:val="24"/>
          <w:lang w:val="en-US"/>
        </w:rPr>
        <w:t xml:space="preserve">cation </w:t>
      </w:r>
      <w:r w:rsidR="004B173A">
        <w:rPr>
          <w:rFonts w:ascii="Times New Roman" w:hAnsi="Times New Roman" w:cs="Times New Roman"/>
          <w:sz w:val="24"/>
          <w:szCs w:val="24"/>
          <w:lang w:val="en-US"/>
        </w:rPr>
        <w:t xml:space="preserve">(if successful) </w:t>
      </w:r>
      <w:r w:rsidR="00E63F9F">
        <w:rPr>
          <w:rFonts w:ascii="Times New Roman" w:hAnsi="Times New Roman" w:cs="Times New Roman"/>
          <w:sz w:val="24"/>
          <w:szCs w:val="24"/>
          <w:lang w:val="en-US"/>
        </w:rPr>
        <w:t>rather than mitigation was</w:t>
      </w:r>
      <w:r w:rsidR="001C5E11">
        <w:rPr>
          <w:rFonts w:ascii="Times New Roman" w:hAnsi="Times New Roman" w:cs="Times New Roman"/>
          <w:sz w:val="24"/>
          <w:szCs w:val="24"/>
          <w:lang w:val="en-US"/>
        </w:rPr>
        <w:t xml:space="preserve"> therefore 6,000</w:t>
      </w:r>
      <w:r w:rsidR="00F53236">
        <w:rPr>
          <w:rFonts w:ascii="Times New Roman" w:hAnsi="Times New Roman" w:cs="Times New Roman"/>
          <w:sz w:val="24"/>
          <w:szCs w:val="24"/>
          <w:lang w:val="en-US"/>
        </w:rPr>
        <w:t xml:space="preserve"> </w:t>
      </w:r>
      <w:r w:rsidR="001C5E11">
        <w:rPr>
          <w:rFonts w:ascii="Times New Roman" w:hAnsi="Times New Roman" w:cs="Times New Roman"/>
          <w:sz w:val="24"/>
          <w:szCs w:val="24"/>
          <w:lang w:val="en-US"/>
        </w:rPr>
        <w:t>-</w:t>
      </w:r>
      <w:r w:rsidR="00F53236">
        <w:rPr>
          <w:rFonts w:ascii="Times New Roman" w:hAnsi="Times New Roman" w:cs="Times New Roman"/>
          <w:sz w:val="24"/>
          <w:szCs w:val="24"/>
          <w:lang w:val="en-US"/>
        </w:rPr>
        <w:t xml:space="preserve"> </w:t>
      </w:r>
      <w:r w:rsidR="001C5E11">
        <w:rPr>
          <w:rFonts w:ascii="Times New Roman" w:hAnsi="Times New Roman" w:cs="Times New Roman"/>
          <w:sz w:val="24"/>
          <w:szCs w:val="24"/>
          <w:lang w:val="en-US"/>
        </w:rPr>
        <w:t xml:space="preserve">12,500.  Blakely et al (2020) also proffered an estimate for the average residual life expectancy of the victims sans Covid-19 at five years, implying the number of life years saved at 6,000*5 = 30,000 to 12,500*5 = 62,500.  </w:t>
      </w:r>
      <w:r w:rsidR="00094A06">
        <w:rPr>
          <w:rFonts w:ascii="Times New Roman" w:hAnsi="Times New Roman" w:cs="Times New Roman"/>
          <w:sz w:val="24"/>
          <w:szCs w:val="24"/>
          <w:lang w:val="en-US"/>
        </w:rPr>
        <w:t xml:space="preserve">They </w:t>
      </w:r>
      <w:r w:rsidR="0019560F">
        <w:rPr>
          <w:rFonts w:ascii="Times New Roman" w:hAnsi="Times New Roman" w:cs="Times New Roman"/>
          <w:sz w:val="24"/>
          <w:szCs w:val="24"/>
          <w:lang w:val="en-US"/>
        </w:rPr>
        <w:t xml:space="preserve">did not reduce this further to reflect the imperfect health of these victims sans </w:t>
      </w:r>
      <w:r w:rsidR="00A84987">
        <w:rPr>
          <w:rFonts w:ascii="Times New Roman" w:hAnsi="Times New Roman" w:cs="Times New Roman"/>
          <w:sz w:val="24"/>
          <w:szCs w:val="24"/>
          <w:lang w:val="en-US"/>
        </w:rPr>
        <w:t>Covid-19</w:t>
      </w:r>
      <w:r w:rsidR="0019560F">
        <w:rPr>
          <w:rFonts w:ascii="Times New Roman" w:hAnsi="Times New Roman" w:cs="Times New Roman"/>
          <w:sz w:val="24"/>
          <w:szCs w:val="24"/>
          <w:lang w:val="en-US"/>
        </w:rPr>
        <w:t xml:space="preserve">, so that </w:t>
      </w:r>
      <w:r w:rsidR="00F53236">
        <w:rPr>
          <w:rFonts w:ascii="Times New Roman" w:hAnsi="Times New Roman" w:cs="Times New Roman"/>
          <w:sz w:val="24"/>
          <w:szCs w:val="24"/>
          <w:lang w:val="en-US"/>
        </w:rPr>
        <w:t xml:space="preserve">their estimate of </w:t>
      </w:r>
      <w:r w:rsidR="0019560F">
        <w:rPr>
          <w:rFonts w:ascii="Times New Roman" w:hAnsi="Times New Roman" w:cs="Times New Roman"/>
          <w:sz w:val="24"/>
          <w:szCs w:val="24"/>
          <w:lang w:val="en-US"/>
        </w:rPr>
        <w:t xml:space="preserve">the </w:t>
      </w:r>
      <w:r w:rsidR="001C5E11">
        <w:rPr>
          <w:rFonts w:ascii="Times New Roman" w:hAnsi="Times New Roman" w:cs="Times New Roman"/>
          <w:sz w:val="24"/>
          <w:szCs w:val="24"/>
          <w:lang w:val="en-US"/>
        </w:rPr>
        <w:t xml:space="preserve">Quality Adjusted Life Years (QALY) saved per victim </w:t>
      </w:r>
      <w:r w:rsidR="0019560F">
        <w:rPr>
          <w:rFonts w:ascii="Times New Roman" w:hAnsi="Times New Roman" w:cs="Times New Roman"/>
          <w:sz w:val="24"/>
          <w:szCs w:val="24"/>
          <w:lang w:val="en-US"/>
        </w:rPr>
        <w:t xml:space="preserve">was </w:t>
      </w:r>
      <w:r w:rsidR="00453111">
        <w:rPr>
          <w:rFonts w:ascii="Times New Roman" w:hAnsi="Times New Roman" w:cs="Times New Roman"/>
          <w:sz w:val="24"/>
          <w:szCs w:val="24"/>
          <w:lang w:val="en-US"/>
        </w:rPr>
        <w:t xml:space="preserve">still </w:t>
      </w:r>
      <w:r w:rsidR="0019560F">
        <w:rPr>
          <w:rFonts w:ascii="Times New Roman" w:hAnsi="Times New Roman" w:cs="Times New Roman"/>
          <w:sz w:val="24"/>
          <w:szCs w:val="24"/>
          <w:lang w:val="en-US"/>
        </w:rPr>
        <w:t xml:space="preserve">five </w:t>
      </w:r>
      <w:r w:rsidR="001C5E11">
        <w:rPr>
          <w:rFonts w:ascii="Times New Roman" w:hAnsi="Times New Roman" w:cs="Times New Roman"/>
          <w:sz w:val="24"/>
          <w:szCs w:val="24"/>
          <w:lang w:val="en-US"/>
        </w:rPr>
        <w:t xml:space="preserve">years.  </w:t>
      </w:r>
      <w:r w:rsidR="00C4499B">
        <w:rPr>
          <w:rFonts w:ascii="Times New Roman" w:hAnsi="Times New Roman" w:cs="Times New Roman"/>
          <w:sz w:val="24"/>
          <w:szCs w:val="24"/>
          <w:lang w:val="en-US"/>
        </w:rPr>
        <w:t xml:space="preserve">However the fact that most of the victims had co-morbidities would imply the need for some such deduction, and </w:t>
      </w:r>
      <w:r w:rsidR="00D660DE">
        <w:rPr>
          <w:rFonts w:ascii="Times New Roman" w:hAnsi="Times New Roman" w:cs="Times New Roman"/>
          <w:sz w:val="24"/>
          <w:szCs w:val="24"/>
          <w:lang w:val="en-US"/>
        </w:rPr>
        <w:t xml:space="preserve">Miles et al (2020, page 69) </w:t>
      </w:r>
      <w:r w:rsidR="00C4499B">
        <w:rPr>
          <w:rFonts w:ascii="Times New Roman" w:hAnsi="Times New Roman" w:cs="Times New Roman"/>
          <w:sz w:val="24"/>
          <w:szCs w:val="24"/>
          <w:lang w:val="en-US"/>
        </w:rPr>
        <w:t xml:space="preserve">subsequently </w:t>
      </w:r>
      <w:r w:rsidR="00D660DE">
        <w:rPr>
          <w:rFonts w:ascii="Times New Roman" w:hAnsi="Times New Roman" w:cs="Times New Roman"/>
          <w:sz w:val="24"/>
          <w:szCs w:val="24"/>
          <w:lang w:val="en-US"/>
        </w:rPr>
        <w:t>propose</w:t>
      </w:r>
      <w:r w:rsidR="003F1306">
        <w:rPr>
          <w:rFonts w:ascii="Times New Roman" w:hAnsi="Times New Roman" w:cs="Times New Roman"/>
          <w:sz w:val="24"/>
          <w:szCs w:val="24"/>
          <w:lang w:val="en-US"/>
        </w:rPr>
        <w:t>d</w:t>
      </w:r>
      <w:r w:rsidR="00D660DE">
        <w:rPr>
          <w:rFonts w:ascii="Times New Roman" w:hAnsi="Times New Roman" w:cs="Times New Roman"/>
          <w:sz w:val="24"/>
          <w:szCs w:val="24"/>
          <w:lang w:val="en-US"/>
        </w:rPr>
        <w:t xml:space="preserve"> a reduction of 20%.  </w:t>
      </w:r>
      <w:r w:rsidR="0019560F">
        <w:rPr>
          <w:rFonts w:ascii="Times New Roman" w:hAnsi="Times New Roman" w:cs="Times New Roman"/>
          <w:sz w:val="24"/>
          <w:szCs w:val="24"/>
          <w:lang w:val="en-US"/>
        </w:rPr>
        <w:t xml:space="preserve">The </w:t>
      </w:r>
      <w:r w:rsidR="001C5E11" w:rsidRPr="0045093B">
        <w:rPr>
          <w:rFonts w:ascii="Times New Roman" w:hAnsi="Times New Roman" w:cs="Times New Roman"/>
          <w:sz w:val="24"/>
          <w:szCs w:val="24"/>
          <w:lang w:val="en-US"/>
        </w:rPr>
        <w:t xml:space="preserve">saving in </w:t>
      </w:r>
      <w:r w:rsidR="001C5E11">
        <w:rPr>
          <w:rFonts w:ascii="Times New Roman" w:hAnsi="Times New Roman" w:cs="Times New Roman"/>
          <w:sz w:val="24"/>
          <w:szCs w:val="24"/>
          <w:lang w:val="en-US"/>
        </w:rPr>
        <w:t xml:space="preserve">QALYs </w:t>
      </w:r>
      <w:r w:rsidR="001C5E11" w:rsidRPr="0045093B">
        <w:rPr>
          <w:rFonts w:ascii="Times New Roman" w:hAnsi="Times New Roman" w:cs="Times New Roman"/>
          <w:sz w:val="24"/>
          <w:szCs w:val="24"/>
          <w:lang w:val="en-US"/>
        </w:rPr>
        <w:t xml:space="preserve">would </w:t>
      </w:r>
      <w:r w:rsidR="001C5E11">
        <w:rPr>
          <w:rFonts w:ascii="Times New Roman" w:hAnsi="Times New Roman" w:cs="Times New Roman"/>
          <w:sz w:val="24"/>
          <w:szCs w:val="24"/>
          <w:lang w:val="en-US"/>
        </w:rPr>
        <w:t xml:space="preserve">then </w:t>
      </w:r>
      <w:r w:rsidR="001C5E11" w:rsidRPr="0045093B">
        <w:rPr>
          <w:rFonts w:ascii="Times New Roman" w:hAnsi="Times New Roman" w:cs="Times New Roman"/>
          <w:sz w:val="24"/>
          <w:szCs w:val="24"/>
          <w:lang w:val="en-US"/>
        </w:rPr>
        <w:t>range from a lower bound of 6,000</w:t>
      </w:r>
      <w:r w:rsidR="001C5E11">
        <w:rPr>
          <w:rFonts w:ascii="Times New Roman" w:hAnsi="Times New Roman" w:cs="Times New Roman"/>
          <w:sz w:val="24"/>
          <w:szCs w:val="24"/>
          <w:lang w:val="en-US"/>
        </w:rPr>
        <w:t>*5</w:t>
      </w:r>
      <w:r w:rsidR="00D660DE">
        <w:rPr>
          <w:rFonts w:ascii="Times New Roman" w:hAnsi="Times New Roman" w:cs="Times New Roman"/>
          <w:sz w:val="24"/>
          <w:szCs w:val="24"/>
          <w:lang w:val="en-US"/>
        </w:rPr>
        <w:t>*0.8</w:t>
      </w:r>
      <w:r w:rsidR="001C5E11" w:rsidRPr="0045093B">
        <w:rPr>
          <w:rFonts w:ascii="Times New Roman" w:hAnsi="Times New Roman" w:cs="Times New Roman"/>
          <w:sz w:val="24"/>
          <w:szCs w:val="24"/>
          <w:lang w:val="en-US"/>
        </w:rPr>
        <w:t xml:space="preserve"> = </w:t>
      </w:r>
      <w:r w:rsidR="00D660DE">
        <w:rPr>
          <w:rFonts w:ascii="Times New Roman" w:hAnsi="Times New Roman" w:cs="Times New Roman"/>
          <w:sz w:val="24"/>
          <w:szCs w:val="24"/>
          <w:lang w:val="en-US"/>
        </w:rPr>
        <w:t>24</w:t>
      </w:r>
      <w:r w:rsidR="001C5E11" w:rsidRPr="0045093B">
        <w:rPr>
          <w:rFonts w:ascii="Times New Roman" w:hAnsi="Times New Roman" w:cs="Times New Roman"/>
          <w:sz w:val="24"/>
          <w:szCs w:val="24"/>
          <w:lang w:val="en-US"/>
        </w:rPr>
        <w:t xml:space="preserve">,000 to an upper bound of </w:t>
      </w:r>
      <w:r w:rsidR="001C5E11">
        <w:rPr>
          <w:rFonts w:ascii="Times New Roman" w:hAnsi="Times New Roman" w:cs="Times New Roman"/>
          <w:sz w:val="24"/>
          <w:szCs w:val="24"/>
          <w:lang w:val="en-US"/>
        </w:rPr>
        <w:t>12,500*5</w:t>
      </w:r>
      <w:r w:rsidR="00D660DE">
        <w:rPr>
          <w:rFonts w:ascii="Times New Roman" w:hAnsi="Times New Roman" w:cs="Times New Roman"/>
          <w:sz w:val="24"/>
          <w:szCs w:val="24"/>
          <w:lang w:val="en-US"/>
        </w:rPr>
        <w:t>*0.8</w:t>
      </w:r>
      <w:r w:rsidR="001C5E11" w:rsidRPr="0045093B">
        <w:rPr>
          <w:rFonts w:ascii="Times New Roman" w:hAnsi="Times New Roman" w:cs="Times New Roman"/>
          <w:sz w:val="24"/>
          <w:szCs w:val="24"/>
          <w:lang w:val="en-US"/>
        </w:rPr>
        <w:t xml:space="preserve"> = </w:t>
      </w:r>
      <w:r w:rsidR="00D660DE">
        <w:rPr>
          <w:rFonts w:ascii="Times New Roman" w:hAnsi="Times New Roman" w:cs="Times New Roman"/>
          <w:sz w:val="24"/>
          <w:szCs w:val="24"/>
          <w:lang w:val="en-US"/>
        </w:rPr>
        <w:t>50,000</w:t>
      </w:r>
      <w:r w:rsidR="001C5E11" w:rsidRPr="0045093B">
        <w:rPr>
          <w:rFonts w:ascii="Times New Roman" w:hAnsi="Times New Roman" w:cs="Times New Roman"/>
          <w:sz w:val="24"/>
          <w:szCs w:val="24"/>
          <w:lang w:val="en-US"/>
        </w:rPr>
        <w:t xml:space="preserve">. </w:t>
      </w:r>
      <w:r w:rsidR="0019560F">
        <w:rPr>
          <w:rFonts w:ascii="Times New Roman" w:hAnsi="Times New Roman" w:cs="Times New Roman"/>
          <w:sz w:val="24"/>
          <w:szCs w:val="24"/>
          <w:lang w:val="en-US"/>
        </w:rPr>
        <w:t xml:space="preserve"> </w:t>
      </w:r>
      <w:r w:rsidR="004603AD">
        <w:rPr>
          <w:rFonts w:ascii="Times New Roman" w:hAnsi="Times New Roman" w:cs="Times New Roman"/>
          <w:sz w:val="24"/>
          <w:szCs w:val="24"/>
          <w:lang w:val="en-US"/>
        </w:rPr>
        <w:t xml:space="preserve">Blakely et </w:t>
      </w:r>
      <w:proofErr w:type="spellStart"/>
      <w:r w:rsidR="004603AD">
        <w:rPr>
          <w:rFonts w:ascii="Times New Roman" w:hAnsi="Times New Roman" w:cs="Times New Roman"/>
          <w:sz w:val="24"/>
          <w:szCs w:val="24"/>
          <w:lang w:val="en-US"/>
        </w:rPr>
        <w:t>al’s</w:t>
      </w:r>
      <w:proofErr w:type="spellEnd"/>
      <w:r w:rsidR="004603AD">
        <w:rPr>
          <w:rFonts w:ascii="Times New Roman" w:hAnsi="Times New Roman" w:cs="Times New Roman"/>
          <w:sz w:val="24"/>
          <w:szCs w:val="24"/>
          <w:lang w:val="en-US"/>
        </w:rPr>
        <w:t xml:space="preserve"> (2020) </w:t>
      </w:r>
      <w:r w:rsidR="0019560F">
        <w:rPr>
          <w:rFonts w:ascii="Times New Roman" w:hAnsi="Times New Roman" w:cs="Times New Roman"/>
          <w:sz w:val="24"/>
          <w:szCs w:val="24"/>
          <w:lang w:val="en-US"/>
        </w:rPr>
        <w:t xml:space="preserve">worst case scenario was </w:t>
      </w:r>
      <w:r w:rsidR="003C4429">
        <w:rPr>
          <w:rFonts w:ascii="Times New Roman" w:hAnsi="Times New Roman" w:cs="Times New Roman"/>
          <w:sz w:val="24"/>
          <w:szCs w:val="24"/>
          <w:lang w:val="en-US"/>
        </w:rPr>
        <w:t>30,600 deaths</w:t>
      </w:r>
      <w:r w:rsidR="00B97FF1">
        <w:rPr>
          <w:rFonts w:ascii="Times New Roman" w:hAnsi="Times New Roman" w:cs="Times New Roman"/>
          <w:sz w:val="24"/>
          <w:szCs w:val="24"/>
          <w:lang w:val="en-US"/>
        </w:rPr>
        <w:t>, yielding a saving in QALYs of 30,100*5</w:t>
      </w:r>
      <w:r w:rsidR="00D660DE">
        <w:rPr>
          <w:rFonts w:ascii="Times New Roman" w:hAnsi="Times New Roman" w:cs="Times New Roman"/>
          <w:sz w:val="24"/>
          <w:szCs w:val="24"/>
          <w:lang w:val="en-US"/>
        </w:rPr>
        <w:t>*0.8 = 120,4</w:t>
      </w:r>
      <w:r w:rsidR="00B97FF1">
        <w:rPr>
          <w:rFonts w:ascii="Times New Roman" w:hAnsi="Times New Roman" w:cs="Times New Roman"/>
          <w:sz w:val="24"/>
          <w:szCs w:val="24"/>
          <w:lang w:val="en-US"/>
        </w:rPr>
        <w:t xml:space="preserve">00 from </w:t>
      </w:r>
      <w:r w:rsidR="000436BA">
        <w:rPr>
          <w:rFonts w:ascii="Times New Roman" w:hAnsi="Times New Roman" w:cs="Times New Roman"/>
          <w:sz w:val="24"/>
          <w:szCs w:val="24"/>
          <w:lang w:val="en-US"/>
        </w:rPr>
        <w:t>eradication</w:t>
      </w:r>
      <w:r w:rsidR="00732BC9">
        <w:rPr>
          <w:rFonts w:ascii="Times New Roman" w:hAnsi="Times New Roman" w:cs="Times New Roman"/>
          <w:sz w:val="24"/>
          <w:szCs w:val="24"/>
          <w:lang w:val="en-US"/>
        </w:rPr>
        <w:t xml:space="preserve"> (if successful)</w:t>
      </w:r>
      <w:r w:rsidR="000436BA">
        <w:rPr>
          <w:rFonts w:ascii="Times New Roman" w:hAnsi="Times New Roman" w:cs="Times New Roman"/>
          <w:sz w:val="24"/>
          <w:szCs w:val="24"/>
          <w:lang w:val="en-US"/>
        </w:rPr>
        <w:t xml:space="preserve"> </w:t>
      </w:r>
      <w:r w:rsidR="00B97FF1">
        <w:rPr>
          <w:rFonts w:ascii="Times New Roman" w:hAnsi="Times New Roman" w:cs="Times New Roman"/>
          <w:sz w:val="24"/>
          <w:szCs w:val="24"/>
          <w:lang w:val="en-US"/>
        </w:rPr>
        <w:t>rather than mitigation.</w:t>
      </w:r>
      <w:r w:rsidR="00636EFF">
        <w:rPr>
          <w:rStyle w:val="FootnoteReference"/>
          <w:rFonts w:ascii="Times New Roman" w:hAnsi="Times New Roman" w:cs="Times New Roman"/>
          <w:sz w:val="24"/>
          <w:szCs w:val="24"/>
          <w:lang w:val="en-US"/>
        </w:rPr>
        <w:footnoteReference w:id="3"/>
      </w:r>
      <w:r w:rsidR="00732BC9">
        <w:rPr>
          <w:rFonts w:ascii="Times New Roman" w:hAnsi="Times New Roman" w:cs="Times New Roman"/>
          <w:sz w:val="24"/>
          <w:szCs w:val="24"/>
          <w:lang w:val="en-US"/>
        </w:rPr>
        <w:t xml:space="preserve">  Blakely et al (2020) recognize</w:t>
      </w:r>
      <w:r w:rsidR="00C4499B">
        <w:rPr>
          <w:rFonts w:ascii="Times New Roman" w:hAnsi="Times New Roman" w:cs="Times New Roman"/>
          <w:sz w:val="24"/>
          <w:szCs w:val="24"/>
          <w:lang w:val="en-US"/>
        </w:rPr>
        <w:t>d</w:t>
      </w:r>
      <w:r w:rsidR="00732BC9">
        <w:rPr>
          <w:rFonts w:ascii="Times New Roman" w:hAnsi="Times New Roman" w:cs="Times New Roman"/>
          <w:sz w:val="24"/>
          <w:szCs w:val="24"/>
          <w:lang w:val="en-US"/>
        </w:rPr>
        <w:t xml:space="preserve"> that eradication may fail, and assign</w:t>
      </w:r>
      <w:r w:rsidR="00C4499B">
        <w:rPr>
          <w:rFonts w:ascii="Times New Roman" w:hAnsi="Times New Roman" w:cs="Times New Roman"/>
          <w:sz w:val="24"/>
          <w:szCs w:val="24"/>
          <w:lang w:val="en-US"/>
        </w:rPr>
        <w:t>ed</w:t>
      </w:r>
      <w:r w:rsidR="00732BC9">
        <w:rPr>
          <w:rFonts w:ascii="Times New Roman" w:hAnsi="Times New Roman" w:cs="Times New Roman"/>
          <w:sz w:val="24"/>
          <w:szCs w:val="24"/>
          <w:lang w:val="en-US"/>
        </w:rPr>
        <w:t xml:space="preserve"> a 25% probability to this, so that the expected QALY saving from seeking eradication is [9750 – (.25*9750 + .75*500)]*5*0.8 </w:t>
      </w:r>
      <w:r w:rsidR="00732BC9">
        <w:rPr>
          <w:rFonts w:ascii="Times New Roman" w:hAnsi="Times New Roman" w:cs="Times New Roman"/>
          <w:sz w:val="24"/>
          <w:szCs w:val="24"/>
          <w:lang w:val="en-US"/>
        </w:rPr>
        <w:lastRenderedPageBreak/>
        <w:t>= 27,750.</w:t>
      </w:r>
      <w:r w:rsidR="0094470D">
        <w:rPr>
          <w:rStyle w:val="FootnoteReference"/>
          <w:rFonts w:ascii="Times New Roman" w:hAnsi="Times New Roman" w:cs="Times New Roman"/>
          <w:sz w:val="24"/>
          <w:szCs w:val="24"/>
          <w:lang w:val="en-US"/>
        </w:rPr>
        <w:footnoteReference w:id="4"/>
      </w:r>
      <w:r w:rsidR="00D67F9B">
        <w:rPr>
          <w:rFonts w:ascii="Times New Roman" w:hAnsi="Times New Roman" w:cs="Times New Roman"/>
          <w:sz w:val="24"/>
          <w:szCs w:val="24"/>
          <w:lang w:val="en-US"/>
        </w:rPr>
        <w:t xml:space="preserve">  Interestingly, Blakely et al </w:t>
      </w:r>
      <w:r w:rsidR="00A26233">
        <w:rPr>
          <w:rFonts w:ascii="Times New Roman" w:hAnsi="Times New Roman" w:cs="Times New Roman"/>
          <w:sz w:val="24"/>
          <w:szCs w:val="24"/>
          <w:lang w:val="en-US"/>
        </w:rPr>
        <w:t xml:space="preserve">(2020) </w:t>
      </w:r>
      <w:r w:rsidR="00D67F9B">
        <w:rPr>
          <w:rFonts w:ascii="Times New Roman" w:hAnsi="Times New Roman" w:cs="Times New Roman"/>
          <w:sz w:val="24"/>
          <w:szCs w:val="24"/>
          <w:lang w:val="en-US"/>
        </w:rPr>
        <w:t xml:space="preserve">recognize that lockdowns involve costs </w:t>
      </w:r>
      <w:r w:rsidR="007009CE">
        <w:rPr>
          <w:rFonts w:ascii="Times New Roman" w:hAnsi="Times New Roman" w:cs="Times New Roman"/>
          <w:sz w:val="24"/>
          <w:szCs w:val="24"/>
          <w:lang w:val="en-US"/>
        </w:rPr>
        <w:t xml:space="preserve">(health </w:t>
      </w:r>
      <w:r w:rsidR="006263D7">
        <w:rPr>
          <w:rFonts w:ascii="Times New Roman" w:hAnsi="Times New Roman" w:cs="Times New Roman"/>
          <w:sz w:val="24"/>
          <w:szCs w:val="24"/>
          <w:lang w:val="en-US"/>
        </w:rPr>
        <w:t>expenditures and GDP losses</w:t>
      </w:r>
      <w:r w:rsidR="007009CE">
        <w:rPr>
          <w:rFonts w:ascii="Times New Roman" w:hAnsi="Times New Roman" w:cs="Times New Roman"/>
          <w:sz w:val="24"/>
          <w:szCs w:val="24"/>
          <w:lang w:val="en-US"/>
        </w:rPr>
        <w:t>)</w:t>
      </w:r>
      <w:r w:rsidR="00AD2A35">
        <w:rPr>
          <w:rFonts w:ascii="Times New Roman" w:hAnsi="Times New Roman" w:cs="Times New Roman"/>
          <w:sz w:val="24"/>
          <w:szCs w:val="24"/>
          <w:lang w:val="en-US"/>
        </w:rPr>
        <w:t xml:space="preserve">, </w:t>
      </w:r>
      <w:r w:rsidR="00973644">
        <w:rPr>
          <w:rFonts w:ascii="Times New Roman" w:hAnsi="Times New Roman" w:cs="Times New Roman"/>
          <w:sz w:val="24"/>
          <w:szCs w:val="24"/>
          <w:lang w:val="en-US"/>
        </w:rPr>
        <w:t xml:space="preserve">that </w:t>
      </w:r>
      <w:r w:rsidR="00AD2A35">
        <w:rPr>
          <w:rFonts w:ascii="Times New Roman" w:hAnsi="Times New Roman" w:cs="Times New Roman"/>
          <w:sz w:val="24"/>
          <w:szCs w:val="24"/>
          <w:lang w:val="en-US"/>
        </w:rPr>
        <w:t xml:space="preserve">these are relevant to the decision, </w:t>
      </w:r>
      <w:r w:rsidR="00973644">
        <w:rPr>
          <w:rFonts w:ascii="Times New Roman" w:hAnsi="Times New Roman" w:cs="Times New Roman"/>
          <w:sz w:val="24"/>
          <w:szCs w:val="24"/>
          <w:lang w:val="en-US"/>
        </w:rPr>
        <w:t xml:space="preserve">and they estimated the maximum expenditure consistent </w:t>
      </w:r>
      <w:r w:rsidR="00057AF4">
        <w:rPr>
          <w:rFonts w:ascii="Times New Roman" w:hAnsi="Times New Roman" w:cs="Times New Roman"/>
          <w:sz w:val="24"/>
          <w:szCs w:val="24"/>
          <w:lang w:val="en-US"/>
        </w:rPr>
        <w:t xml:space="preserve">with </w:t>
      </w:r>
      <w:r w:rsidR="00973644">
        <w:rPr>
          <w:rFonts w:ascii="Times New Roman" w:hAnsi="Times New Roman" w:cs="Times New Roman"/>
          <w:sz w:val="24"/>
          <w:szCs w:val="24"/>
          <w:lang w:val="en-US"/>
        </w:rPr>
        <w:t xml:space="preserve">their valuation of a QALY </w:t>
      </w:r>
      <w:r w:rsidR="00256707">
        <w:rPr>
          <w:rFonts w:ascii="Times New Roman" w:hAnsi="Times New Roman" w:cs="Times New Roman"/>
          <w:sz w:val="24"/>
          <w:szCs w:val="24"/>
          <w:lang w:val="en-US"/>
        </w:rPr>
        <w:t xml:space="preserve">at </w:t>
      </w:r>
      <w:r w:rsidR="00973644">
        <w:rPr>
          <w:rFonts w:ascii="Times New Roman" w:hAnsi="Times New Roman" w:cs="Times New Roman"/>
          <w:sz w:val="24"/>
          <w:szCs w:val="24"/>
          <w:lang w:val="en-US"/>
        </w:rPr>
        <w:t>$2.5b</w:t>
      </w:r>
      <w:r w:rsidR="00D67F9B">
        <w:rPr>
          <w:rFonts w:ascii="Times New Roman" w:hAnsi="Times New Roman" w:cs="Times New Roman"/>
          <w:sz w:val="24"/>
          <w:szCs w:val="24"/>
          <w:lang w:val="en-US"/>
        </w:rPr>
        <w:t>.</w:t>
      </w:r>
    </w:p>
    <w:p w:rsidR="004B1499" w:rsidRDefault="004B1499" w:rsidP="001C5E11">
      <w:pPr>
        <w:spacing w:after="0" w:line="360" w:lineRule="auto"/>
        <w:jc w:val="both"/>
        <w:rPr>
          <w:rFonts w:ascii="Times New Roman" w:hAnsi="Times New Roman" w:cs="Times New Roman"/>
          <w:sz w:val="24"/>
          <w:szCs w:val="24"/>
          <w:lang w:val="en-US"/>
        </w:rPr>
      </w:pPr>
    </w:p>
    <w:p w:rsidR="004B1499" w:rsidRPr="0045093B" w:rsidRDefault="004B1499" w:rsidP="001C5E1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Contemporaneously, James et al (2020</w:t>
      </w:r>
      <w:r w:rsidR="00736668">
        <w:rPr>
          <w:rFonts w:ascii="Times New Roman" w:hAnsi="Times New Roman" w:cs="Times New Roman"/>
          <w:sz w:val="24"/>
          <w:szCs w:val="24"/>
          <w:lang w:val="en-US"/>
        </w:rPr>
        <w:t>a</w:t>
      </w:r>
      <w:r w:rsidR="00EC1DB0">
        <w:rPr>
          <w:rFonts w:ascii="Times New Roman" w:hAnsi="Times New Roman" w:cs="Times New Roman"/>
          <w:sz w:val="24"/>
          <w:szCs w:val="24"/>
          <w:lang w:val="en-US"/>
        </w:rPr>
        <w:t>, Table 2</w:t>
      </w:r>
      <w:r>
        <w:rPr>
          <w:rFonts w:ascii="Times New Roman" w:hAnsi="Times New Roman" w:cs="Times New Roman"/>
          <w:sz w:val="24"/>
          <w:szCs w:val="24"/>
          <w:lang w:val="en-US"/>
        </w:rPr>
        <w:t>) present</w:t>
      </w:r>
      <w:r w:rsidR="00651543">
        <w:rPr>
          <w:rFonts w:ascii="Times New Roman" w:hAnsi="Times New Roman" w:cs="Times New Roman"/>
          <w:sz w:val="24"/>
          <w:szCs w:val="24"/>
          <w:lang w:val="en-US"/>
        </w:rPr>
        <w:t>ed</w:t>
      </w:r>
      <w:r>
        <w:rPr>
          <w:rFonts w:ascii="Times New Roman" w:hAnsi="Times New Roman" w:cs="Times New Roman"/>
          <w:sz w:val="24"/>
          <w:szCs w:val="24"/>
          <w:lang w:val="en-US"/>
        </w:rPr>
        <w:t xml:space="preserve"> predictions of the death toll</w:t>
      </w:r>
      <w:r w:rsidR="00651543">
        <w:rPr>
          <w:rFonts w:ascii="Times New Roman" w:hAnsi="Times New Roman" w:cs="Times New Roman"/>
          <w:sz w:val="24"/>
          <w:szCs w:val="24"/>
          <w:lang w:val="en-US"/>
        </w:rPr>
        <w:t>s</w:t>
      </w:r>
      <w:r>
        <w:rPr>
          <w:rFonts w:ascii="Times New Roman" w:hAnsi="Times New Roman" w:cs="Times New Roman"/>
          <w:sz w:val="24"/>
          <w:szCs w:val="24"/>
          <w:lang w:val="en-US"/>
        </w:rPr>
        <w:t xml:space="preserve"> in New Zealand from a range of possible </w:t>
      </w:r>
      <w:r w:rsidR="007009CE">
        <w:rPr>
          <w:rFonts w:ascii="Times New Roman" w:hAnsi="Times New Roman" w:cs="Times New Roman"/>
          <w:sz w:val="24"/>
          <w:szCs w:val="24"/>
          <w:lang w:val="en-US"/>
        </w:rPr>
        <w:t xml:space="preserve">control </w:t>
      </w:r>
      <w:r>
        <w:rPr>
          <w:rFonts w:ascii="Times New Roman" w:hAnsi="Times New Roman" w:cs="Times New Roman"/>
          <w:sz w:val="24"/>
          <w:szCs w:val="24"/>
          <w:lang w:val="en-US"/>
        </w:rPr>
        <w:t>strategie</w:t>
      </w:r>
      <w:r w:rsidR="003D0457">
        <w:rPr>
          <w:rFonts w:ascii="Times New Roman" w:hAnsi="Times New Roman" w:cs="Times New Roman"/>
          <w:sz w:val="24"/>
          <w:szCs w:val="24"/>
          <w:lang w:val="en-US"/>
        </w:rPr>
        <w:t xml:space="preserve">s.  Lockdown corresponds to the last </w:t>
      </w:r>
      <w:r w:rsidR="00651543">
        <w:rPr>
          <w:rFonts w:ascii="Times New Roman" w:hAnsi="Times New Roman" w:cs="Times New Roman"/>
          <w:sz w:val="24"/>
          <w:szCs w:val="24"/>
          <w:lang w:val="en-US"/>
        </w:rPr>
        <w:t xml:space="preserve">strategy </w:t>
      </w:r>
      <w:r w:rsidR="003D0457">
        <w:rPr>
          <w:rFonts w:ascii="Times New Roman" w:hAnsi="Times New Roman" w:cs="Times New Roman"/>
          <w:sz w:val="24"/>
          <w:szCs w:val="24"/>
          <w:lang w:val="en-US"/>
        </w:rPr>
        <w:t xml:space="preserve">in their Table 2, and </w:t>
      </w:r>
      <w:r w:rsidR="000674E2">
        <w:rPr>
          <w:rFonts w:ascii="Times New Roman" w:hAnsi="Times New Roman" w:cs="Times New Roman"/>
          <w:sz w:val="24"/>
          <w:szCs w:val="24"/>
          <w:lang w:val="en-US"/>
        </w:rPr>
        <w:t xml:space="preserve">involves </w:t>
      </w:r>
      <w:r w:rsidR="003D0457">
        <w:rPr>
          <w:rFonts w:ascii="Times New Roman" w:hAnsi="Times New Roman" w:cs="Times New Roman"/>
          <w:sz w:val="24"/>
          <w:szCs w:val="24"/>
          <w:lang w:val="en-US"/>
        </w:rPr>
        <w:t xml:space="preserve">predicted deaths of 20 (0.0004% of the population).  However, none of the other </w:t>
      </w:r>
      <w:r w:rsidR="00AB69B9">
        <w:rPr>
          <w:rFonts w:ascii="Times New Roman" w:hAnsi="Times New Roman" w:cs="Times New Roman"/>
          <w:sz w:val="24"/>
          <w:szCs w:val="24"/>
          <w:lang w:val="en-US"/>
        </w:rPr>
        <w:t xml:space="preserve">strategies </w:t>
      </w:r>
      <w:r w:rsidR="003D0457">
        <w:rPr>
          <w:rFonts w:ascii="Times New Roman" w:hAnsi="Times New Roman" w:cs="Times New Roman"/>
          <w:sz w:val="24"/>
          <w:szCs w:val="24"/>
          <w:lang w:val="en-US"/>
        </w:rPr>
        <w:t xml:space="preserve">examined by them in their Table 2 corresponds to “mitigation” as defined by Ferguson et al (2020) and Blakely et al (2020).  </w:t>
      </w:r>
      <w:r w:rsidR="000674E2">
        <w:rPr>
          <w:rFonts w:ascii="Times New Roman" w:hAnsi="Times New Roman" w:cs="Times New Roman"/>
          <w:sz w:val="24"/>
          <w:szCs w:val="24"/>
          <w:lang w:val="en-US"/>
        </w:rPr>
        <w:t xml:space="preserve">The </w:t>
      </w:r>
      <w:r w:rsidR="003D0457">
        <w:rPr>
          <w:rFonts w:ascii="Times New Roman" w:hAnsi="Times New Roman" w:cs="Times New Roman"/>
          <w:sz w:val="24"/>
          <w:szCs w:val="24"/>
          <w:lang w:val="en-US"/>
        </w:rPr>
        <w:t xml:space="preserve">fourth </w:t>
      </w:r>
      <w:r w:rsidR="00AB69B9">
        <w:rPr>
          <w:rFonts w:ascii="Times New Roman" w:hAnsi="Times New Roman" w:cs="Times New Roman"/>
          <w:sz w:val="24"/>
          <w:szCs w:val="24"/>
          <w:lang w:val="en-US"/>
        </w:rPr>
        <w:t xml:space="preserve">strategy </w:t>
      </w:r>
      <w:r w:rsidR="00EC1DB0">
        <w:rPr>
          <w:rFonts w:ascii="Times New Roman" w:hAnsi="Times New Roman" w:cs="Times New Roman"/>
          <w:sz w:val="24"/>
          <w:szCs w:val="24"/>
          <w:lang w:val="en-US"/>
        </w:rPr>
        <w:t xml:space="preserve">in their Table 2 </w:t>
      </w:r>
      <w:r w:rsidR="003D0457">
        <w:rPr>
          <w:rFonts w:ascii="Times New Roman" w:hAnsi="Times New Roman" w:cs="Times New Roman"/>
          <w:sz w:val="24"/>
          <w:szCs w:val="24"/>
          <w:lang w:val="en-US"/>
        </w:rPr>
        <w:t>embodies case isolation and quarantining</w:t>
      </w:r>
      <w:r w:rsidR="00385C48">
        <w:rPr>
          <w:rFonts w:ascii="Times New Roman" w:hAnsi="Times New Roman" w:cs="Times New Roman"/>
          <w:sz w:val="24"/>
          <w:szCs w:val="24"/>
          <w:lang w:val="en-US"/>
        </w:rPr>
        <w:t xml:space="preserve"> of members of their households, but not also </w:t>
      </w:r>
      <w:r w:rsidR="00EC1DB0">
        <w:rPr>
          <w:rFonts w:ascii="Times New Roman" w:hAnsi="Times New Roman" w:cs="Times New Roman"/>
          <w:sz w:val="24"/>
          <w:szCs w:val="24"/>
          <w:lang w:val="en-US"/>
        </w:rPr>
        <w:t xml:space="preserve">social distancing of the </w:t>
      </w:r>
      <w:r w:rsidR="00385C48">
        <w:rPr>
          <w:rFonts w:ascii="Times New Roman" w:hAnsi="Times New Roman" w:cs="Times New Roman"/>
          <w:sz w:val="24"/>
          <w:szCs w:val="24"/>
          <w:lang w:val="en-US"/>
        </w:rPr>
        <w:t xml:space="preserve">elderly, and therefore (unsurprisingly) yields a predicted death toll </w:t>
      </w:r>
      <w:r w:rsidR="00EC1DB0">
        <w:rPr>
          <w:rFonts w:ascii="Times New Roman" w:hAnsi="Times New Roman" w:cs="Times New Roman"/>
          <w:sz w:val="24"/>
          <w:szCs w:val="24"/>
          <w:lang w:val="en-US"/>
        </w:rPr>
        <w:t xml:space="preserve">much higher than that of Blakely et al (2020), at </w:t>
      </w:r>
      <w:r w:rsidR="007A638A">
        <w:rPr>
          <w:rFonts w:ascii="Times New Roman" w:hAnsi="Times New Roman" w:cs="Times New Roman"/>
          <w:sz w:val="24"/>
          <w:szCs w:val="24"/>
          <w:lang w:val="en-US"/>
        </w:rPr>
        <w:t xml:space="preserve">62,500.  </w:t>
      </w:r>
      <w:r w:rsidR="00AD2A35">
        <w:rPr>
          <w:rFonts w:ascii="Times New Roman" w:hAnsi="Times New Roman" w:cs="Times New Roman"/>
          <w:sz w:val="24"/>
          <w:szCs w:val="24"/>
          <w:lang w:val="en-US"/>
        </w:rPr>
        <w:t xml:space="preserve">Table 2 also includes a </w:t>
      </w:r>
      <w:r w:rsidR="008146C4">
        <w:rPr>
          <w:rFonts w:ascii="Times New Roman" w:hAnsi="Times New Roman" w:cs="Times New Roman"/>
          <w:sz w:val="24"/>
          <w:szCs w:val="24"/>
          <w:lang w:val="en-US"/>
        </w:rPr>
        <w:t xml:space="preserve">no control </w:t>
      </w:r>
      <w:r w:rsidR="00AD2A35">
        <w:rPr>
          <w:rFonts w:ascii="Times New Roman" w:hAnsi="Times New Roman" w:cs="Times New Roman"/>
          <w:sz w:val="24"/>
          <w:szCs w:val="24"/>
          <w:lang w:val="en-US"/>
        </w:rPr>
        <w:t xml:space="preserve">strategy, with a predicted death toll of 83,000 (1.67% of the population).  </w:t>
      </w:r>
      <w:r w:rsidR="003223B0">
        <w:rPr>
          <w:rFonts w:ascii="Times New Roman" w:hAnsi="Times New Roman" w:cs="Times New Roman"/>
          <w:sz w:val="24"/>
          <w:szCs w:val="24"/>
          <w:lang w:val="en-US"/>
        </w:rPr>
        <w:t>James et al (2020</w:t>
      </w:r>
      <w:r w:rsidR="00736668">
        <w:rPr>
          <w:rFonts w:ascii="Times New Roman" w:hAnsi="Times New Roman" w:cs="Times New Roman"/>
          <w:sz w:val="24"/>
          <w:szCs w:val="24"/>
          <w:lang w:val="en-US"/>
        </w:rPr>
        <w:t>a</w:t>
      </w:r>
      <w:r w:rsidR="00331711">
        <w:rPr>
          <w:rFonts w:ascii="Times New Roman" w:hAnsi="Times New Roman" w:cs="Times New Roman"/>
          <w:sz w:val="24"/>
          <w:szCs w:val="24"/>
          <w:lang w:val="en-US"/>
        </w:rPr>
        <w:t>, page 7</w:t>
      </w:r>
      <w:r w:rsidR="003223B0">
        <w:rPr>
          <w:rFonts w:ascii="Times New Roman" w:hAnsi="Times New Roman" w:cs="Times New Roman"/>
          <w:sz w:val="24"/>
          <w:szCs w:val="24"/>
          <w:lang w:val="en-US"/>
        </w:rPr>
        <w:t xml:space="preserve">) do consider a strategy they describe as mitigation, </w:t>
      </w:r>
      <w:r w:rsidR="00DF1D87">
        <w:rPr>
          <w:rFonts w:ascii="Times New Roman" w:hAnsi="Times New Roman" w:cs="Times New Roman"/>
          <w:sz w:val="24"/>
          <w:szCs w:val="24"/>
          <w:lang w:val="en-US"/>
        </w:rPr>
        <w:t xml:space="preserve">with a predicted death toll of 25,000 (0.508% of the population), </w:t>
      </w:r>
      <w:r w:rsidR="003223B0">
        <w:rPr>
          <w:rFonts w:ascii="Times New Roman" w:hAnsi="Times New Roman" w:cs="Times New Roman"/>
          <w:sz w:val="24"/>
          <w:szCs w:val="24"/>
          <w:lang w:val="en-US"/>
        </w:rPr>
        <w:t xml:space="preserve">but it involves a combination of periods of low control (case isolation plus household quarantining) with periods of lockdown as required to keep the number of cases within the capacity of the hospital system.  </w:t>
      </w:r>
      <w:r w:rsidR="007A638A">
        <w:rPr>
          <w:rFonts w:ascii="Times New Roman" w:hAnsi="Times New Roman" w:cs="Times New Roman"/>
          <w:sz w:val="24"/>
          <w:szCs w:val="24"/>
          <w:lang w:val="en-US"/>
        </w:rPr>
        <w:t>I therefore treat the work of Blakely et al (2020) as providing the best estimate of the death toll from mitigation (</w:t>
      </w:r>
      <w:r w:rsidR="003223B0">
        <w:rPr>
          <w:rFonts w:ascii="Times New Roman" w:hAnsi="Times New Roman" w:cs="Times New Roman"/>
          <w:sz w:val="24"/>
          <w:szCs w:val="24"/>
          <w:lang w:val="en-US"/>
        </w:rPr>
        <w:t>as defined by them</w:t>
      </w:r>
      <w:r w:rsidR="007A638A">
        <w:rPr>
          <w:rFonts w:ascii="Times New Roman" w:hAnsi="Times New Roman" w:cs="Times New Roman"/>
          <w:sz w:val="24"/>
          <w:szCs w:val="24"/>
          <w:lang w:val="en-US"/>
        </w:rPr>
        <w:t>) that was available on 23 March</w:t>
      </w:r>
      <w:r w:rsidR="00D67F9B">
        <w:rPr>
          <w:rFonts w:ascii="Times New Roman" w:hAnsi="Times New Roman" w:cs="Times New Roman"/>
          <w:sz w:val="24"/>
          <w:szCs w:val="24"/>
          <w:lang w:val="en-US"/>
        </w:rPr>
        <w:t>.  Interestingly, and unlike Blakely et al</w:t>
      </w:r>
      <w:r w:rsidR="0006164B">
        <w:rPr>
          <w:rFonts w:ascii="Times New Roman" w:hAnsi="Times New Roman" w:cs="Times New Roman"/>
          <w:sz w:val="24"/>
          <w:szCs w:val="24"/>
          <w:lang w:val="en-US"/>
        </w:rPr>
        <w:t xml:space="preserve"> but like Ferguson et al, James et al </w:t>
      </w:r>
      <w:r w:rsidR="00BA208F">
        <w:rPr>
          <w:rFonts w:ascii="Times New Roman" w:hAnsi="Times New Roman" w:cs="Times New Roman"/>
          <w:sz w:val="24"/>
          <w:szCs w:val="24"/>
          <w:lang w:val="en-US"/>
        </w:rPr>
        <w:t xml:space="preserve">do not </w:t>
      </w:r>
      <w:r w:rsidR="0006164B">
        <w:rPr>
          <w:rFonts w:ascii="Times New Roman" w:hAnsi="Times New Roman" w:cs="Times New Roman"/>
          <w:sz w:val="24"/>
          <w:szCs w:val="24"/>
          <w:lang w:val="en-US"/>
        </w:rPr>
        <w:t xml:space="preserve">present </w:t>
      </w:r>
      <w:r w:rsidR="00BA208F">
        <w:rPr>
          <w:rFonts w:ascii="Times New Roman" w:hAnsi="Times New Roman" w:cs="Times New Roman"/>
          <w:sz w:val="24"/>
          <w:szCs w:val="24"/>
          <w:lang w:val="en-US"/>
        </w:rPr>
        <w:t xml:space="preserve">any </w:t>
      </w:r>
      <w:r w:rsidR="0006164B">
        <w:rPr>
          <w:rFonts w:ascii="Times New Roman" w:hAnsi="Times New Roman" w:cs="Times New Roman"/>
          <w:sz w:val="24"/>
          <w:szCs w:val="24"/>
          <w:lang w:val="en-US"/>
        </w:rPr>
        <w:t>information on</w:t>
      </w:r>
      <w:r w:rsidR="00973644">
        <w:rPr>
          <w:rFonts w:ascii="Times New Roman" w:hAnsi="Times New Roman" w:cs="Times New Roman"/>
          <w:sz w:val="24"/>
          <w:szCs w:val="24"/>
          <w:lang w:val="en-US"/>
        </w:rPr>
        <w:t>,</w:t>
      </w:r>
      <w:r w:rsidR="0006164B">
        <w:rPr>
          <w:rFonts w:ascii="Times New Roman" w:hAnsi="Times New Roman" w:cs="Times New Roman"/>
          <w:sz w:val="24"/>
          <w:szCs w:val="24"/>
          <w:lang w:val="en-US"/>
        </w:rPr>
        <w:t xml:space="preserve"> </w:t>
      </w:r>
      <w:r w:rsidR="00973644">
        <w:rPr>
          <w:rFonts w:ascii="Times New Roman" w:hAnsi="Times New Roman" w:cs="Times New Roman"/>
          <w:sz w:val="24"/>
          <w:szCs w:val="24"/>
          <w:lang w:val="en-US"/>
        </w:rPr>
        <w:t xml:space="preserve">or even recognize </w:t>
      </w:r>
      <w:r w:rsidR="0006164B">
        <w:rPr>
          <w:rFonts w:ascii="Times New Roman" w:hAnsi="Times New Roman" w:cs="Times New Roman"/>
          <w:sz w:val="24"/>
          <w:szCs w:val="24"/>
          <w:lang w:val="en-US"/>
        </w:rPr>
        <w:t xml:space="preserve">the </w:t>
      </w:r>
      <w:r w:rsidR="00973644">
        <w:rPr>
          <w:rFonts w:ascii="Times New Roman" w:hAnsi="Times New Roman" w:cs="Times New Roman"/>
          <w:sz w:val="24"/>
          <w:szCs w:val="24"/>
          <w:lang w:val="en-US"/>
        </w:rPr>
        <w:t xml:space="preserve">relevance of, </w:t>
      </w:r>
      <w:r w:rsidR="0006164B">
        <w:rPr>
          <w:rFonts w:ascii="Times New Roman" w:hAnsi="Times New Roman" w:cs="Times New Roman"/>
          <w:sz w:val="24"/>
          <w:szCs w:val="24"/>
          <w:lang w:val="en-US"/>
        </w:rPr>
        <w:t xml:space="preserve">costs of adopting </w:t>
      </w:r>
      <w:r w:rsidR="00AB69B9">
        <w:rPr>
          <w:rFonts w:ascii="Times New Roman" w:hAnsi="Times New Roman" w:cs="Times New Roman"/>
          <w:sz w:val="24"/>
          <w:szCs w:val="24"/>
          <w:lang w:val="en-US"/>
        </w:rPr>
        <w:t xml:space="preserve">the </w:t>
      </w:r>
      <w:r w:rsidR="0006164B">
        <w:rPr>
          <w:rFonts w:ascii="Times New Roman" w:hAnsi="Times New Roman" w:cs="Times New Roman"/>
          <w:sz w:val="24"/>
          <w:szCs w:val="24"/>
          <w:lang w:val="en-US"/>
        </w:rPr>
        <w:t xml:space="preserve">various </w:t>
      </w:r>
      <w:r w:rsidR="00AB69B9">
        <w:rPr>
          <w:rFonts w:ascii="Times New Roman" w:hAnsi="Times New Roman" w:cs="Times New Roman"/>
          <w:sz w:val="24"/>
          <w:szCs w:val="24"/>
          <w:lang w:val="en-US"/>
        </w:rPr>
        <w:t>strategies considered by them</w:t>
      </w:r>
      <w:r w:rsidR="003968DC">
        <w:rPr>
          <w:rFonts w:ascii="Times New Roman" w:hAnsi="Times New Roman" w:cs="Times New Roman"/>
          <w:sz w:val="24"/>
          <w:szCs w:val="24"/>
          <w:lang w:val="en-US"/>
        </w:rPr>
        <w:t>,</w:t>
      </w:r>
      <w:r w:rsidR="00AB69B9">
        <w:rPr>
          <w:rFonts w:ascii="Times New Roman" w:hAnsi="Times New Roman" w:cs="Times New Roman"/>
          <w:sz w:val="24"/>
          <w:szCs w:val="24"/>
          <w:lang w:val="en-US"/>
        </w:rPr>
        <w:t xml:space="preserve"> </w:t>
      </w:r>
      <w:r w:rsidR="0006164B">
        <w:rPr>
          <w:rFonts w:ascii="Times New Roman" w:hAnsi="Times New Roman" w:cs="Times New Roman"/>
          <w:sz w:val="24"/>
          <w:szCs w:val="24"/>
          <w:lang w:val="en-US"/>
        </w:rPr>
        <w:t xml:space="preserve">and therefore their goal seems to </w:t>
      </w:r>
      <w:r w:rsidR="00AB69B9">
        <w:rPr>
          <w:rFonts w:ascii="Times New Roman" w:hAnsi="Times New Roman" w:cs="Times New Roman"/>
          <w:sz w:val="24"/>
          <w:szCs w:val="24"/>
          <w:lang w:val="en-US"/>
        </w:rPr>
        <w:t xml:space="preserve">be to </w:t>
      </w:r>
      <w:r w:rsidR="0006164B">
        <w:rPr>
          <w:rFonts w:ascii="Times New Roman" w:hAnsi="Times New Roman" w:cs="Times New Roman"/>
          <w:sz w:val="24"/>
          <w:szCs w:val="24"/>
          <w:lang w:val="en-US"/>
        </w:rPr>
        <w:t>minimize the number of deaths regardless of the cost.</w:t>
      </w:r>
    </w:p>
    <w:p w:rsidR="003626D7" w:rsidRDefault="003626D7" w:rsidP="007C109B">
      <w:pPr>
        <w:spacing w:after="0" w:line="360" w:lineRule="auto"/>
        <w:jc w:val="both"/>
        <w:rPr>
          <w:rFonts w:ascii="Times New Roman" w:hAnsi="Times New Roman" w:cs="Times New Roman"/>
          <w:sz w:val="24"/>
          <w:szCs w:val="24"/>
          <w:lang w:val="en-US"/>
        </w:rPr>
      </w:pPr>
    </w:p>
    <w:p w:rsidR="00D144F1" w:rsidRPr="00D144F1" w:rsidRDefault="00D144F1" w:rsidP="006B3F43">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2.2 Expected Costs</w:t>
      </w:r>
    </w:p>
    <w:p w:rsidR="006B3F43" w:rsidRDefault="00E12D92" w:rsidP="006B3F4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Turning now to the costs of the </w:t>
      </w:r>
      <w:r w:rsidR="00D144F1">
        <w:rPr>
          <w:rFonts w:ascii="Times New Roman" w:hAnsi="Times New Roman" w:cs="Times New Roman"/>
          <w:sz w:val="24"/>
          <w:szCs w:val="24"/>
          <w:lang w:val="en-US"/>
        </w:rPr>
        <w:t xml:space="preserve">lockdown </w:t>
      </w:r>
      <w:r>
        <w:rPr>
          <w:rFonts w:ascii="Times New Roman" w:hAnsi="Times New Roman" w:cs="Times New Roman"/>
          <w:sz w:val="24"/>
          <w:szCs w:val="24"/>
          <w:lang w:val="en-US"/>
        </w:rPr>
        <w:t xml:space="preserve">policy, this principally takes the form of lost GDP.  </w:t>
      </w:r>
      <w:r w:rsidR="006B3F43">
        <w:rPr>
          <w:rFonts w:ascii="Times New Roman" w:hAnsi="Times New Roman" w:cs="Times New Roman"/>
          <w:sz w:val="24"/>
          <w:szCs w:val="24"/>
          <w:lang w:val="en-US"/>
        </w:rPr>
        <w:t xml:space="preserve">Shortly before the pandemic arose, in December 2019, The Treasury (2019, page 3) forecasted New Zealand’s real GDP growth rates for 2020-2024 at the rates shown in the first row of Table 1.  This is </w:t>
      </w:r>
      <w:r w:rsidR="001C2AC2">
        <w:rPr>
          <w:rFonts w:ascii="Times New Roman" w:hAnsi="Times New Roman" w:cs="Times New Roman"/>
          <w:sz w:val="24"/>
          <w:szCs w:val="24"/>
          <w:lang w:val="en-US"/>
        </w:rPr>
        <w:t xml:space="preserve">an estimate of </w:t>
      </w:r>
      <w:r w:rsidR="006B3F43">
        <w:rPr>
          <w:rFonts w:ascii="Times New Roman" w:hAnsi="Times New Roman" w:cs="Times New Roman"/>
          <w:sz w:val="24"/>
          <w:szCs w:val="24"/>
          <w:lang w:val="en-US"/>
        </w:rPr>
        <w:t xml:space="preserve">growth under the pandemic but with </w:t>
      </w:r>
      <w:r w:rsidR="006B3F43" w:rsidRPr="00F22915">
        <w:rPr>
          <w:rFonts w:ascii="Times New Roman" w:hAnsi="Times New Roman" w:cs="Times New Roman"/>
          <w:i/>
          <w:sz w:val="24"/>
          <w:szCs w:val="24"/>
          <w:lang w:val="en-US"/>
        </w:rPr>
        <w:t>no</w:t>
      </w:r>
      <w:r w:rsidR="006B3F43">
        <w:rPr>
          <w:rFonts w:ascii="Times New Roman" w:hAnsi="Times New Roman" w:cs="Times New Roman"/>
          <w:sz w:val="24"/>
          <w:szCs w:val="24"/>
          <w:lang w:val="en-US"/>
        </w:rPr>
        <w:t xml:space="preserve"> curt</w:t>
      </w:r>
      <w:r w:rsidR="001C2AC2">
        <w:rPr>
          <w:rFonts w:ascii="Times New Roman" w:hAnsi="Times New Roman" w:cs="Times New Roman"/>
          <w:sz w:val="24"/>
          <w:szCs w:val="24"/>
          <w:lang w:val="en-US"/>
        </w:rPr>
        <w:t>ailment of economic activity to reduce its spread</w:t>
      </w:r>
      <w:r w:rsidR="006B3F43">
        <w:rPr>
          <w:rFonts w:ascii="Times New Roman" w:hAnsi="Times New Roman" w:cs="Times New Roman"/>
          <w:sz w:val="24"/>
          <w:szCs w:val="24"/>
          <w:lang w:val="en-US"/>
        </w:rPr>
        <w:t xml:space="preserve">.  In April 2020, they </w:t>
      </w:r>
      <w:r w:rsidR="00616B24">
        <w:rPr>
          <w:rFonts w:ascii="Times New Roman" w:hAnsi="Times New Roman" w:cs="Times New Roman"/>
          <w:sz w:val="24"/>
          <w:szCs w:val="24"/>
          <w:lang w:val="en-US"/>
        </w:rPr>
        <w:t xml:space="preserve">released </w:t>
      </w:r>
      <w:r w:rsidR="006958C7">
        <w:rPr>
          <w:rFonts w:ascii="Times New Roman" w:hAnsi="Times New Roman" w:cs="Times New Roman"/>
          <w:sz w:val="24"/>
          <w:szCs w:val="24"/>
          <w:lang w:val="en-US"/>
        </w:rPr>
        <w:t xml:space="preserve">figures </w:t>
      </w:r>
      <w:r w:rsidR="00616B24">
        <w:rPr>
          <w:rFonts w:ascii="Times New Roman" w:hAnsi="Times New Roman" w:cs="Times New Roman"/>
          <w:sz w:val="24"/>
          <w:szCs w:val="24"/>
          <w:lang w:val="en-US"/>
        </w:rPr>
        <w:t xml:space="preserve">revised </w:t>
      </w:r>
      <w:r w:rsidR="006958C7">
        <w:rPr>
          <w:rFonts w:ascii="Times New Roman" w:hAnsi="Times New Roman" w:cs="Times New Roman"/>
          <w:sz w:val="24"/>
          <w:szCs w:val="24"/>
          <w:lang w:val="en-US"/>
        </w:rPr>
        <w:t xml:space="preserve">to reflect several different scenarios differing by the time for which Level </w:t>
      </w:r>
      <w:r w:rsidR="00342393">
        <w:rPr>
          <w:rFonts w:ascii="Times New Roman" w:hAnsi="Times New Roman" w:cs="Times New Roman"/>
          <w:sz w:val="24"/>
          <w:szCs w:val="24"/>
          <w:lang w:val="en-US"/>
        </w:rPr>
        <w:t xml:space="preserve">3 and </w:t>
      </w:r>
      <w:r w:rsidR="006958C7">
        <w:rPr>
          <w:rFonts w:ascii="Times New Roman" w:hAnsi="Times New Roman" w:cs="Times New Roman"/>
          <w:sz w:val="24"/>
          <w:szCs w:val="24"/>
          <w:lang w:val="en-US"/>
        </w:rPr>
        <w:t xml:space="preserve">4 operated and the </w:t>
      </w:r>
      <w:r w:rsidR="006958C7">
        <w:rPr>
          <w:rFonts w:ascii="Times New Roman" w:hAnsi="Times New Roman" w:cs="Times New Roman"/>
          <w:sz w:val="24"/>
          <w:szCs w:val="24"/>
          <w:lang w:val="en-US"/>
        </w:rPr>
        <w:lastRenderedPageBreak/>
        <w:t xml:space="preserve">situation elsewhere in the world, of which the least </w:t>
      </w:r>
      <w:r w:rsidR="00342393">
        <w:rPr>
          <w:rFonts w:ascii="Times New Roman" w:hAnsi="Times New Roman" w:cs="Times New Roman"/>
          <w:sz w:val="24"/>
          <w:szCs w:val="24"/>
          <w:lang w:val="en-US"/>
        </w:rPr>
        <w:t xml:space="preserve">severe (S1), the </w:t>
      </w:r>
      <w:r w:rsidR="006958C7">
        <w:rPr>
          <w:rFonts w:ascii="Times New Roman" w:hAnsi="Times New Roman" w:cs="Times New Roman"/>
          <w:sz w:val="24"/>
          <w:szCs w:val="24"/>
          <w:lang w:val="en-US"/>
        </w:rPr>
        <w:t xml:space="preserve">most severe </w:t>
      </w:r>
      <w:r w:rsidR="00162FE9">
        <w:rPr>
          <w:rFonts w:ascii="Times New Roman" w:hAnsi="Times New Roman" w:cs="Times New Roman"/>
          <w:sz w:val="24"/>
          <w:szCs w:val="24"/>
          <w:lang w:val="en-US"/>
        </w:rPr>
        <w:t>(S</w:t>
      </w:r>
      <w:r w:rsidR="003B6C77">
        <w:rPr>
          <w:rFonts w:ascii="Times New Roman" w:hAnsi="Times New Roman" w:cs="Times New Roman"/>
          <w:sz w:val="24"/>
          <w:szCs w:val="24"/>
          <w:lang w:val="en-US"/>
        </w:rPr>
        <w:t>3</w:t>
      </w:r>
      <w:r w:rsidR="00162FE9">
        <w:rPr>
          <w:rFonts w:ascii="Times New Roman" w:hAnsi="Times New Roman" w:cs="Times New Roman"/>
          <w:sz w:val="24"/>
          <w:szCs w:val="24"/>
          <w:lang w:val="en-US"/>
        </w:rPr>
        <w:t>)</w:t>
      </w:r>
      <w:r w:rsidR="00342393">
        <w:rPr>
          <w:rFonts w:ascii="Times New Roman" w:hAnsi="Times New Roman" w:cs="Times New Roman"/>
          <w:sz w:val="24"/>
          <w:szCs w:val="24"/>
          <w:lang w:val="en-US"/>
        </w:rPr>
        <w:t>, and an intermediary scenario (S2)</w:t>
      </w:r>
      <w:r w:rsidR="00162FE9">
        <w:rPr>
          <w:rFonts w:ascii="Times New Roman" w:hAnsi="Times New Roman" w:cs="Times New Roman"/>
          <w:sz w:val="24"/>
          <w:szCs w:val="24"/>
          <w:lang w:val="en-US"/>
        </w:rPr>
        <w:t xml:space="preserve"> </w:t>
      </w:r>
      <w:r w:rsidR="006958C7">
        <w:rPr>
          <w:rFonts w:ascii="Times New Roman" w:hAnsi="Times New Roman" w:cs="Times New Roman"/>
          <w:sz w:val="24"/>
          <w:szCs w:val="24"/>
          <w:lang w:val="en-US"/>
        </w:rPr>
        <w:t xml:space="preserve">are shown in the other rows of </w:t>
      </w:r>
      <w:r w:rsidR="006B3F43">
        <w:rPr>
          <w:rFonts w:ascii="Times New Roman" w:hAnsi="Times New Roman" w:cs="Times New Roman"/>
          <w:sz w:val="24"/>
          <w:szCs w:val="24"/>
          <w:lang w:val="en-US"/>
        </w:rPr>
        <w:t>the table (The Treasury, 2020</w:t>
      </w:r>
      <w:r w:rsidR="006958C7">
        <w:rPr>
          <w:rFonts w:ascii="Times New Roman" w:hAnsi="Times New Roman" w:cs="Times New Roman"/>
          <w:sz w:val="24"/>
          <w:szCs w:val="24"/>
          <w:lang w:val="en-US"/>
        </w:rPr>
        <w:t>a</w:t>
      </w:r>
      <w:r w:rsidR="006B3F43">
        <w:rPr>
          <w:rFonts w:ascii="Times New Roman" w:hAnsi="Times New Roman" w:cs="Times New Roman"/>
          <w:sz w:val="24"/>
          <w:szCs w:val="24"/>
          <w:lang w:val="en-US"/>
        </w:rPr>
        <w:t xml:space="preserve">, </w:t>
      </w:r>
      <w:r w:rsidR="006958C7">
        <w:rPr>
          <w:rFonts w:ascii="Times New Roman" w:hAnsi="Times New Roman" w:cs="Times New Roman"/>
          <w:sz w:val="24"/>
          <w:szCs w:val="24"/>
          <w:lang w:val="en-US"/>
        </w:rPr>
        <w:t>page 7</w:t>
      </w:r>
      <w:r w:rsidR="006B3F43">
        <w:rPr>
          <w:rFonts w:ascii="Times New Roman" w:hAnsi="Times New Roman" w:cs="Times New Roman"/>
          <w:sz w:val="24"/>
          <w:szCs w:val="24"/>
          <w:lang w:val="en-US"/>
        </w:rPr>
        <w:t xml:space="preserve">).  Arbitrarily designating 2019 GDP as 100, the GDP results under these paths are as shown in Table 1.  The aggregate difference </w:t>
      </w:r>
      <w:r w:rsidR="00D8050F">
        <w:rPr>
          <w:rFonts w:ascii="Times New Roman" w:hAnsi="Times New Roman" w:cs="Times New Roman"/>
          <w:sz w:val="24"/>
          <w:szCs w:val="24"/>
          <w:lang w:val="en-US"/>
        </w:rPr>
        <w:t xml:space="preserve">between </w:t>
      </w:r>
      <w:r w:rsidR="003B6C77">
        <w:rPr>
          <w:rFonts w:ascii="Times New Roman" w:hAnsi="Times New Roman" w:cs="Times New Roman"/>
          <w:sz w:val="24"/>
          <w:szCs w:val="24"/>
          <w:lang w:val="en-US"/>
        </w:rPr>
        <w:t xml:space="preserve">the no curtailment scenario </w:t>
      </w:r>
      <w:r w:rsidR="0089317C">
        <w:rPr>
          <w:rFonts w:ascii="Times New Roman" w:hAnsi="Times New Roman" w:cs="Times New Roman"/>
          <w:sz w:val="24"/>
          <w:szCs w:val="24"/>
          <w:lang w:val="en-US"/>
        </w:rPr>
        <w:t xml:space="preserve">and S1 </w:t>
      </w:r>
      <w:r w:rsidR="003B6C77">
        <w:rPr>
          <w:rFonts w:ascii="Times New Roman" w:hAnsi="Times New Roman" w:cs="Times New Roman"/>
          <w:sz w:val="24"/>
          <w:szCs w:val="24"/>
          <w:lang w:val="en-US"/>
        </w:rPr>
        <w:t xml:space="preserve">is </w:t>
      </w:r>
      <w:r w:rsidR="00D8050F">
        <w:rPr>
          <w:rFonts w:ascii="Times New Roman" w:hAnsi="Times New Roman" w:cs="Times New Roman"/>
          <w:sz w:val="24"/>
          <w:szCs w:val="24"/>
          <w:lang w:val="en-US"/>
        </w:rPr>
        <w:t>539.1 – 511.4 = 27.7</w:t>
      </w:r>
      <w:r w:rsidR="006B3F43">
        <w:rPr>
          <w:rFonts w:ascii="Times New Roman" w:hAnsi="Times New Roman" w:cs="Times New Roman"/>
          <w:sz w:val="24"/>
          <w:szCs w:val="24"/>
          <w:lang w:val="en-US"/>
        </w:rPr>
        <w:t>, which represents 28% of New Zealand 2019 GDP.  Since New Zealand’s 2019 GDP was $311b, this is $87b.</w:t>
      </w:r>
      <w:r w:rsidR="006B3F43">
        <w:rPr>
          <w:rStyle w:val="FootnoteReference"/>
          <w:rFonts w:ascii="Times New Roman" w:hAnsi="Times New Roman" w:cs="Times New Roman"/>
          <w:sz w:val="24"/>
          <w:szCs w:val="24"/>
          <w:lang w:val="en-US"/>
        </w:rPr>
        <w:footnoteReference w:id="5"/>
      </w:r>
      <w:r w:rsidR="006B3F43">
        <w:rPr>
          <w:rFonts w:ascii="Times New Roman" w:hAnsi="Times New Roman" w:cs="Times New Roman"/>
          <w:sz w:val="24"/>
          <w:szCs w:val="24"/>
          <w:lang w:val="en-US"/>
        </w:rPr>
        <w:t xml:space="preserve">  Even this </w:t>
      </w:r>
      <w:r w:rsidR="0089317C">
        <w:rPr>
          <w:rFonts w:ascii="Times New Roman" w:hAnsi="Times New Roman" w:cs="Times New Roman"/>
          <w:sz w:val="24"/>
          <w:szCs w:val="24"/>
          <w:lang w:val="en-US"/>
        </w:rPr>
        <w:t xml:space="preserve">figure </w:t>
      </w:r>
      <w:r w:rsidR="006B3F43">
        <w:rPr>
          <w:rFonts w:ascii="Times New Roman" w:hAnsi="Times New Roman" w:cs="Times New Roman"/>
          <w:sz w:val="24"/>
          <w:szCs w:val="24"/>
          <w:lang w:val="en-US"/>
        </w:rPr>
        <w:t xml:space="preserve">may be too low </w:t>
      </w:r>
      <w:r w:rsidR="008A09F2">
        <w:rPr>
          <w:rFonts w:ascii="Times New Roman" w:hAnsi="Times New Roman" w:cs="Times New Roman"/>
          <w:sz w:val="24"/>
          <w:szCs w:val="24"/>
          <w:lang w:val="en-US"/>
        </w:rPr>
        <w:t xml:space="preserve">because </w:t>
      </w:r>
      <w:r w:rsidR="006B3F43">
        <w:rPr>
          <w:rFonts w:ascii="Times New Roman" w:hAnsi="Times New Roman" w:cs="Times New Roman"/>
          <w:sz w:val="24"/>
          <w:szCs w:val="24"/>
          <w:lang w:val="en-US"/>
        </w:rPr>
        <w:t xml:space="preserve">the 2024 GDP level under </w:t>
      </w:r>
      <w:r w:rsidR="0089317C">
        <w:rPr>
          <w:rFonts w:ascii="Times New Roman" w:hAnsi="Times New Roman" w:cs="Times New Roman"/>
          <w:sz w:val="24"/>
          <w:szCs w:val="24"/>
          <w:lang w:val="en-US"/>
        </w:rPr>
        <w:t xml:space="preserve">S1 </w:t>
      </w:r>
      <w:r w:rsidR="006B3F43">
        <w:rPr>
          <w:rFonts w:ascii="Times New Roman" w:hAnsi="Times New Roman" w:cs="Times New Roman"/>
          <w:sz w:val="24"/>
          <w:szCs w:val="24"/>
          <w:lang w:val="en-US"/>
        </w:rPr>
        <w:t>is below that from th</w:t>
      </w:r>
      <w:r w:rsidR="00D8050F">
        <w:rPr>
          <w:rFonts w:ascii="Times New Roman" w:hAnsi="Times New Roman" w:cs="Times New Roman"/>
          <w:sz w:val="24"/>
          <w:szCs w:val="24"/>
          <w:lang w:val="en-US"/>
        </w:rPr>
        <w:t>e no-curtailment scenario (112.3</w:t>
      </w:r>
      <w:r w:rsidR="006B3F43">
        <w:rPr>
          <w:rFonts w:ascii="Times New Roman" w:hAnsi="Times New Roman" w:cs="Times New Roman"/>
          <w:sz w:val="24"/>
          <w:szCs w:val="24"/>
          <w:lang w:val="en-US"/>
        </w:rPr>
        <w:t xml:space="preserve"> versus 113.3) and such GDP losses relative to the counterfactual would continue </w:t>
      </w:r>
      <w:r w:rsidR="00D8050F">
        <w:rPr>
          <w:rFonts w:ascii="Times New Roman" w:hAnsi="Times New Roman" w:cs="Times New Roman"/>
          <w:sz w:val="24"/>
          <w:szCs w:val="24"/>
          <w:lang w:val="en-US"/>
        </w:rPr>
        <w:t>until these levels were equal.  All other scenarios considered by The Treasury yield even more severe GDP losses.</w:t>
      </w:r>
    </w:p>
    <w:p w:rsidR="006B3F43" w:rsidRDefault="006B3F43" w:rsidP="006B3F43">
      <w:pPr>
        <w:spacing w:after="0" w:line="360" w:lineRule="auto"/>
        <w:jc w:val="both"/>
        <w:rPr>
          <w:rFonts w:ascii="Times New Roman" w:hAnsi="Times New Roman" w:cs="Times New Roman"/>
          <w:sz w:val="24"/>
          <w:szCs w:val="24"/>
          <w:lang w:val="en-US"/>
        </w:rPr>
      </w:pPr>
    </w:p>
    <w:p w:rsidR="006B3F43" w:rsidRDefault="006B3F43" w:rsidP="006B3F4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1: GDP Forecasts</w:t>
      </w:r>
    </w:p>
    <w:p w:rsidR="006B3F43" w:rsidRDefault="006B3F43" w:rsidP="006B3F4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6B3F43" w:rsidRDefault="006B3F43" w:rsidP="006B3F43">
      <w:pPr>
        <w:tabs>
          <w:tab w:val="left" w:pos="2552"/>
          <w:tab w:val="left" w:pos="3686"/>
          <w:tab w:val="left" w:pos="4820"/>
          <w:tab w:val="left" w:pos="5954"/>
          <w:tab w:val="left" w:pos="7088"/>
          <w:tab w:val="left" w:pos="822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2020</w:t>
      </w:r>
      <w:r>
        <w:rPr>
          <w:rFonts w:ascii="Times New Roman" w:hAnsi="Times New Roman" w:cs="Times New Roman"/>
          <w:sz w:val="24"/>
          <w:szCs w:val="24"/>
          <w:lang w:val="en-US"/>
        </w:rPr>
        <w:tab/>
        <w:t>2021</w:t>
      </w:r>
      <w:r>
        <w:rPr>
          <w:rFonts w:ascii="Times New Roman" w:hAnsi="Times New Roman" w:cs="Times New Roman"/>
          <w:sz w:val="24"/>
          <w:szCs w:val="24"/>
          <w:lang w:val="en-US"/>
        </w:rPr>
        <w:tab/>
        <w:t>2022</w:t>
      </w:r>
      <w:r>
        <w:rPr>
          <w:rFonts w:ascii="Times New Roman" w:hAnsi="Times New Roman" w:cs="Times New Roman"/>
          <w:sz w:val="24"/>
          <w:szCs w:val="24"/>
          <w:lang w:val="en-US"/>
        </w:rPr>
        <w:tab/>
        <w:t>2023</w:t>
      </w:r>
      <w:r>
        <w:rPr>
          <w:rFonts w:ascii="Times New Roman" w:hAnsi="Times New Roman" w:cs="Times New Roman"/>
          <w:sz w:val="24"/>
          <w:szCs w:val="24"/>
          <w:lang w:val="en-US"/>
        </w:rPr>
        <w:tab/>
        <w:t>2024</w:t>
      </w:r>
      <w:r>
        <w:rPr>
          <w:rFonts w:ascii="Times New Roman" w:hAnsi="Times New Roman" w:cs="Times New Roman"/>
          <w:sz w:val="24"/>
          <w:szCs w:val="24"/>
          <w:lang w:val="en-US"/>
        </w:rPr>
        <w:tab/>
        <w:t>Sum</w:t>
      </w:r>
    </w:p>
    <w:p w:rsidR="006B3F43" w:rsidRDefault="006B3F43" w:rsidP="006B3F43">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6B3F43" w:rsidRDefault="006B3F43" w:rsidP="006B3F43">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Dec 2019 Forecasts</w:t>
      </w:r>
      <w:r>
        <w:rPr>
          <w:rFonts w:ascii="Times New Roman" w:hAnsi="Times New Roman" w:cs="Times New Roman"/>
          <w:sz w:val="24"/>
          <w:szCs w:val="24"/>
          <w:lang w:val="en-US"/>
        </w:rPr>
        <w:tab/>
        <w:t>2.2%</w:t>
      </w:r>
      <w:r>
        <w:rPr>
          <w:rFonts w:ascii="Times New Roman" w:hAnsi="Times New Roman" w:cs="Times New Roman"/>
          <w:sz w:val="24"/>
          <w:szCs w:val="24"/>
          <w:lang w:val="en-US"/>
        </w:rPr>
        <w:tab/>
        <w:t>2.8%</w:t>
      </w:r>
      <w:r>
        <w:rPr>
          <w:rFonts w:ascii="Times New Roman" w:hAnsi="Times New Roman" w:cs="Times New Roman"/>
          <w:sz w:val="24"/>
          <w:szCs w:val="24"/>
          <w:lang w:val="en-US"/>
        </w:rPr>
        <w:tab/>
        <w:t>2.7%</w:t>
      </w:r>
      <w:r>
        <w:rPr>
          <w:rFonts w:ascii="Times New Roman" w:hAnsi="Times New Roman" w:cs="Times New Roman"/>
          <w:sz w:val="24"/>
          <w:szCs w:val="24"/>
          <w:lang w:val="en-US"/>
        </w:rPr>
        <w:tab/>
        <w:t>2.5%</w:t>
      </w:r>
      <w:r>
        <w:rPr>
          <w:rFonts w:ascii="Times New Roman" w:hAnsi="Times New Roman" w:cs="Times New Roman"/>
          <w:sz w:val="24"/>
          <w:szCs w:val="24"/>
          <w:lang w:val="en-US"/>
        </w:rPr>
        <w:tab/>
        <w:t>2.4%</w:t>
      </w:r>
    </w:p>
    <w:p w:rsidR="006B3F43" w:rsidRDefault="006B3F43" w:rsidP="006B3F43">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GDP</w:t>
      </w:r>
      <w:r>
        <w:rPr>
          <w:rFonts w:ascii="Times New Roman" w:hAnsi="Times New Roman" w:cs="Times New Roman"/>
          <w:sz w:val="24"/>
          <w:szCs w:val="24"/>
          <w:lang w:val="en-US"/>
        </w:rPr>
        <w:tab/>
        <w:t>102.2</w:t>
      </w:r>
      <w:r>
        <w:rPr>
          <w:rFonts w:ascii="Times New Roman" w:hAnsi="Times New Roman" w:cs="Times New Roman"/>
          <w:sz w:val="24"/>
          <w:szCs w:val="24"/>
          <w:lang w:val="en-US"/>
        </w:rPr>
        <w:tab/>
        <w:t>105.1</w:t>
      </w:r>
      <w:r>
        <w:rPr>
          <w:rFonts w:ascii="Times New Roman" w:hAnsi="Times New Roman" w:cs="Times New Roman"/>
          <w:sz w:val="24"/>
          <w:szCs w:val="24"/>
          <w:lang w:val="en-US"/>
        </w:rPr>
        <w:tab/>
        <w:t>107.9</w:t>
      </w:r>
      <w:r>
        <w:rPr>
          <w:rFonts w:ascii="Times New Roman" w:hAnsi="Times New Roman" w:cs="Times New Roman"/>
          <w:sz w:val="24"/>
          <w:szCs w:val="24"/>
          <w:lang w:val="en-US"/>
        </w:rPr>
        <w:tab/>
        <w:t>110.6</w:t>
      </w:r>
      <w:r>
        <w:rPr>
          <w:rFonts w:ascii="Times New Roman" w:hAnsi="Times New Roman" w:cs="Times New Roman"/>
          <w:sz w:val="24"/>
          <w:szCs w:val="24"/>
          <w:lang w:val="en-US"/>
        </w:rPr>
        <w:tab/>
        <w:t>113.3</w:t>
      </w:r>
      <w:r>
        <w:rPr>
          <w:rFonts w:ascii="Times New Roman" w:hAnsi="Times New Roman" w:cs="Times New Roman"/>
          <w:sz w:val="24"/>
          <w:szCs w:val="24"/>
          <w:lang w:val="en-US"/>
        </w:rPr>
        <w:tab/>
        <w:t>539.1</w:t>
      </w:r>
    </w:p>
    <w:p w:rsidR="006B3F43" w:rsidRDefault="0090474D" w:rsidP="006B3F43">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April</w:t>
      </w:r>
      <w:r w:rsidR="006B3F43">
        <w:rPr>
          <w:rFonts w:ascii="Times New Roman" w:hAnsi="Times New Roman" w:cs="Times New Roman"/>
          <w:sz w:val="24"/>
          <w:szCs w:val="24"/>
          <w:lang w:val="en-US"/>
        </w:rPr>
        <w:t xml:space="preserve"> 2020 Forecasts</w:t>
      </w:r>
      <w:r>
        <w:rPr>
          <w:rFonts w:ascii="Times New Roman" w:hAnsi="Times New Roman" w:cs="Times New Roman"/>
          <w:sz w:val="24"/>
          <w:szCs w:val="24"/>
          <w:lang w:val="en-US"/>
        </w:rPr>
        <w:t>: S1</w:t>
      </w:r>
      <w:r w:rsidR="00162FE9">
        <w:rPr>
          <w:rFonts w:ascii="Times New Roman" w:hAnsi="Times New Roman" w:cs="Times New Roman"/>
          <w:sz w:val="24"/>
          <w:szCs w:val="24"/>
          <w:lang w:val="en-US"/>
        </w:rPr>
        <w:tab/>
        <w:t>-4.5%</w:t>
      </w:r>
      <w:r w:rsidR="00162FE9">
        <w:rPr>
          <w:rFonts w:ascii="Times New Roman" w:hAnsi="Times New Roman" w:cs="Times New Roman"/>
          <w:sz w:val="24"/>
          <w:szCs w:val="24"/>
          <w:lang w:val="en-US"/>
        </w:rPr>
        <w:tab/>
        <w:t>-2.5%</w:t>
      </w:r>
      <w:r w:rsidR="00162FE9">
        <w:rPr>
          <w:rFonts w:ascii="Times New Roman" w:hAnsi="Times New Roman" w:cs="Times New Roman"/>
          <w:sz w:val="24"/>
          <w:szCs w:val="24"/>
          <w:lang w:val="en-US"/>
        </w:rPr>
        <w:tab/>
        <w:t>10.0%</w:t>
      </w:r>
      <w:r w:rsidR="00162FE9">
        <w:rPr>
          <w:rFonts w:ascii="Times New Roman" w:hAnsi="Times New Roman" w:cs="Times New Roman"/>
          <w:sz w:val="24"/>
          <w:szCs w:val="24"/>
          <w:lang w:val="en-US"/>
        </w:rPr>
        <w:tab/>
        <w:t>5.5%</w:t>
      </w:r>
      <w:r w:rsidR="00162FE9">
        <w:rPr>
          <w:rFonts w:ascii="Times New Roman" w:hAnsi="Times New Roman" w:cs="Times New Roman"/>
          <w:sz w:val="24"/>
          <w:szCs w:val="24"/>
          <w:lang w:val="en-US"/>
        </w:rPr>
        <w:tab/>
        <w:t>4.0</w:t>
      </w:r>
      <w:r w:rsidR="006B3F43">
        <w:rPr>
          <w:rFonts w:ascii="Times New Roman" w:hAnsi="Times New Roman" w:cs="Times New Roman"/>
          <w:sz w:val="24"/>
          <w:szCs w:val="24"/>
          <w:lang w:val="en-US"/>
        </w:rPr>
        <w:t>%</w:t>
      </w:r>
    </w:p>
    <w:p w:rsidR="006B3F43" w:rsidRDefault="006B3F43" w:rsidP="0090474D">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GDP</w:t>
      </w:r>
      <w:r>
        <w:rPr>
          <w:rFonts w:ascii="Times New Roman" w:hAnsi="Times New Roman" w:cs="Times New Roman"/>
          <w:sz w:val="24"/>
          <w:szCs w:val="24"/>
          <w:lang w:val="en-US"/>
        </w:rPr>
        <w:tab/>
      </w:r>
      <w:r w:rsidR="00162FE9">
        <w:rPr>
          <w:rFonts w:ascii="Times New Roman" w:hAnsi="Times New Roman" w:cs="Times New Roman"/>
          <w:sz w:val="24"/>
          <w:szCs w:val="24"/>
          <w:lang w:val="en-US"/>
        </w:rPr>
        <w:t>95.5</w:t>
      </w:r>
      <w:r w:rsidR="00162FE9">
        <w:rPr>
          <w:rFonts w:ascii="Times New Roman" w:hAnsi="Times New Roman" w:cs="Times New Roman"/>
          <w:sz w:val="24"/>
          <w:szCs w:val="24"/>
          <w:lang w:val="en-US"/>
        </w:rPr>
        <w:tab/>
        <w:t>93.1</w:t>
      </w:r>
      <w:r w:rsidR="00162FE9">
        <w:rPr>
          <w:rFonts w:ascii="Times New Roman" w:hAnsi="Times New Roman" w:cs="Times New Roman"/>
          <w:sz w:val="24"/>
          <w:szCs w:val="24"/>
          <w:lang w:val="en-US"/>
        </w:rPr>
        <w:tab/>
        <w:t>102.4</w:t>
      </w:r>
      <w:r w:rsidR="00162FE9">
        <w:rPr>
          <w:rFonts w:ascii="Times New Roman" w:hAnsi="Times New Roman" w:cs="Times New Roman"/>
          <w:sz w:val="24"/>
          <w:szCs w:val="24"/>
          <w:lang w:val="en-US"/>
        </w:rPr>
        <w:tab/>
        <w:t>108.1</w:t>
      </w:r>
      <w:r w:rsidR="00162FE9">
        <w:rPr>
          <w:rFonts w:ascii="Times New Roman" w:hAnsi="Times New Roman" w:cs="Times New Roman"/>
          <w:sz w:val="24"/>
          <w:szCs w:val="24"/>
          <w:lang w:val="en-US"/>
        </w:rPr>
        <w:tab/>
        <w:t>112.3</w:t>
      </w:r>
      <w:r>
        <w:rPr>
          <w:rFonts w:ascii="Times New Roman" w:hAnsi="Times New Roman" w:cs="Times New Roman"/>
          <w:sz w:val="24"/>
          <w:szCs w:val="24"/>
          <w:lang w:val="en-US"/>
        </w:rPr>
        <w:tab/>
      </w:r>
      <w:r w:rsidR="00162FE9">
        <w:rPr>
          <w:rFonts w:ascii="Times New Roman" w:hAnsi="Times New Roman" w:cs="Times New Roman"/>
          <w:sz w:val="24"/>
          <w:szCs w:val="24"/>
          <w:lang w:val="en-US"/>
        </w:rPr>
        <w:t>511.4</w:t>
      </w:r>
    </w:p>
    <w:p w:rsidR="009123B3" w:rsidRDefault="009123B3" w:rsidP="009123B3">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April 2020 Forecasts: S2</w:t>
      </w:r>
      <w:r>
        <w:rPr>
          <w:rFonts w:ascii="Times New Roman" w:hAnsi="Times New Roman" w:cs="Times New Roman"/>
          <w:sz w:val="24"/>
          <w:szCs w:val="24"/>
          <w:lang w:val="en-US"/>
        </w:rPr>
        <w:tab/>
        <w:t>-8.0%</w:t>
      </w:r>
      <w:r>
        <w:rPr>
          <w:rFonts w:ascii="Times New Roman" w:hAnsi="Times New Roman" w:cs="Times New Roman"/>
          <w:sz w:val="24"/>
          <w:szCs w:val="24"/>
          <w:lang w:val="en-US"/>
        </w:rPr>
        <w:tab/>
        <w:t>-3.0%</w:t>
      </w:r>
      <w:r>
        <w:rPr>
          <w:rFonts w:ascii="Times New Roman" w:hAnsi="Times New Roman" w:cs="Times New Roman"/>
          <w:sz w:val="24"/>
          <w:szCs w:val="24"/>
          <w:lang w:val="en-US"/>
        </w:rPr>
        <w:tab/>
        <w:t>13.0%</w:t>
      </w:r>
      <w:r>
        <w:rPr>
          <w:rFonts w:ascii="Times New Roman" w:hAnsi="Times New Roman" w:cs="Times New Roman"/>
          <w:sz w:val="24"/>
          <w:szCs w:val="24"/>
          <w:lang w:val="en-US"/>
        </w:rPr>
        <w:tab/>
        <w:t>5.5%</w:t>
      </w:r>
      <w:r>
        <w:rPr>
          <w:rFonts w:ascii="Times New Roman" w:hAnsi="Times New Roman" w:cs="Times New Roman"/>
          <w:sz w:val="24"/>
          <w:szCs w:val="24"/>
          <w:lang w:val="en-US"/>
        </w:rPr>
        <w:tab/>
        <w:t>4.0%</w:t>
      </w:r>
    </w:p>
    <w:p w:rsidR="009123B3" w:rsidRDefault="009123B3" w:rsidP="0090474D">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GDP</w:t>
      </w:r>
      <w:r>
        <w:rPr>
          <w:rFonts w:ascii="Times New Roman" w:hAnsi="Times New Roman" w:cs="Times New Roman"/>
          <w:sz w:val="24"/>
          <w:szCs w:val="24"/>
          <w:lang w:val="en-US"/>
        </w:rPr>
        <w:tab/>
        <w:t>92.0</w:t>
      </w:r>
      <w:r>
        <w:rPr>
          <w:rFonts w:ascii="Times New Roman" w:hAnsi="Times New Roman" w:cs="Times New Roman"/>
          <w:sz w:val="24"/>
          <w:szCs w:val="24"/>
          <w:lang w:val="en-US"/>
        </w:rPr>
        <w:tab/>
        <w:t>89.2</w:t>
      </w:r>
      <w:r>
        <w:rPr>
          <w:rFonts w:ascii="Times New Roman" w:hAnsi="Times New Roman" w:cs="Times New Roman"/>
          <w:sz w:val="24"/>
          <w:szCs w:val="24"/>
          <w:lang w:val="en-US"/>
        </w:rPr>
        <w:tab/>
        <w:t>100.8</w:t>
      </w:r>
      <w:r>
        <w:rPr>
          <w:rFonts w:ascii="Times New Roman" w:hAnsi="Times New Roman" w:cs="Times New Roman"/>
          <w:sz w:val="24"/>
          <w:szCs w:val="24"/>
          <w:lang w:val="en-US"/>
        </w:rPr>
        <w:tab/>
        <w:t>106.4</w:t>
      </w:r>
      <w:r>
        <w:rPr>
          <w:rFonts w:ascii="Times New Roman" w:hAnsi="Times New Roman" w:cs="Times New Roman"/>
          <w:sz w:val="24"/>
          <w:szCs w:val="24"/>
          <w:lang w:val="en-US"/>
        </w:rPr>
        <w:tab/>
        <w:t>110.6</w:t>
      </w:r>
      <w:r>
        <w:rPr>
          <w:rFonts w:ascii="Times New Roman" w:hAnsi="Times New Roman" w:cs="Times New Roman"/>
          <w:sz w:val="24"/>
          <w:szCs w:val="24"/>
          <w:lang w:val="en-US"/>
        </w:rPr>
        <w:tab/>
        <w:t>499.0</w:t>
      </w:r>
    </w:p>
    <w:p w:rsidR="0090474D" w:rsidRDefault="0090474D" w:rsidP="0090474D">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April 2020 Forecasts: S</w:t>
      </w:r>
      <w:r w:rsidR="003B6C77">
        <w:rPr>
          <w:rFonts w:ascii="Times New Roman" w:hAnsi="Times New Roman" w:cs="Times New Roman"/>
          <w:sz w:val="24"/>
          <w:szCs w:val="24"/>
          <w:lang w:val="en-US"/>
        </w:rPr>
        <w:t>3</w:t>
      </w:r>
      <w:r w:rsidR="00162FE9">
        <w:rPr>
          <w:rFonts w:ascii="Times New Roman" w:hAnsi="Times New Roman" w:cs="Times New Roman"/>
          <w:sz w:val="24"/>
          <w:szCs w:val="24"/>
          <w:lang w:val="en-US"/>
        </w:rPr>
        <w:tab/>
        <w:t>-8.0%</w:t>
      </w:r>
      <w:r w:rsidR="00162FE9">
        <w:rPr>
          <w:rFonts w:ascii="Times New Roman" w:hAnsi="Times New Roman" w:cs="Times New Roman"/>
          <w:sz w:val="24"/>
          <w:szCs w:val="24"/>
          <w:lang w:val="en-US"/>
        </w:rPr>
        <w:tab/>
        <w:t>-</w:t>
      </w:r>
      <w:r w:rsidR="003B6C77">
        <w:rPr>
          <w:rFonts w:ascii="Times New Roman" w:hAnsi="Times New Roman" w:cs="Times New Roman"/>
          <w:sz w:val="24"/>
          <w:szCs w:val="24"/>
          <w:lang w:val="en-US"/>
        </w:rPr>
        <w:t>23.5%</w:t>
      </w:r>
      <w:r w:rsidR="00162FE9">
        <w:rPr>
          <w:rFonts w:ascii="Times New Roman" w:hAnsi="Times New Roman" w:cs="Times New Roman"/>
          <w:sz w:val="24"/>
          <w:szCs w:val="24"/>
          <w:lang w:val="en-US"/>
        </w:rPr>
        <w:tab/>
      </w:r>
      <w:r w:rsidR="003B6C77">
        <w:rPr>
          <w:rFonts w:ascii="Times New Roman" w:hAnsi="Times New Roman" w:cs="Times New Roman"/>
          <w:sz w:val="24"/>
          <w:szCs w:val="24"/>
          <w:lang w:val="en-US"/>
        </w:rPr>
        <w:t>30</w:t>
      </w:r>
      <w:r w:rsidR="00162FE9">
        <w:rPr>
          <w:rFonts w:ascii="Times New Roman" w:hAnsi="Times New Roman" w:cs="Times New Roman"/>
          <w:sz w:val="24"/>
          <w:szCs w:val="24"/>
          <w:lang w:val="en-US"/>
        </w:rPr>
        <w:t>.0%</w:t>
      </w:r>
      <w:r w:rsidR="00162FE9">
        <w:rPr>
          <w:rFonts w:ascii="Times New Roman" w:hAnsi="Times New Roman" w:cs="Times New Roman"/>
          <w:sz w:val="24"/>
          <w:szCs w:val="24"/>
          <w:lang w:val="en-US"/>
        </w:rPr>
        <w:tab/>
      </w:r>
      <w:r w:rsidR="003B6C77">
        <w:rPr>
          <w:rFonts w:ascii="Times New Roman" w:hAnsi="Times New Roman" w:cs="Times New Roman"/>
          <w:sz w:val="24"/>
          <w:szCs w:val="24"/>
          <w:lang w:val="en-US"/>
        </w:rPr>
        <w:t>13.0</w:t>
      </w:r>
      <w:r w:rsidR="00162FE9">
        <w:rPr>
          <w:rFonts w:ascii="Times New Roman" w:hAnsi="Times New Roman" w:cs="Times New Roman"/>
          <w:sz w:val="24"/>
          <w:szCs w:val="24"/>
          <w:lang w:val="en-US"/>
        </w:rPr>
        <w:t>%</w:t>
      </w:r>
      <w:r w:rsidR="00162FE9">
        <w:rPr>
          <w:rFonts w:ascii="Times New Roman" w:hAnsi="Times New Roman" w:cs="Times New Roman"/>
          <w:sz w:val="24"/>
          <w:szCs w:val="24"/>
          <w:lang w:val="en-US"/>
        </w:rPr>
        <w:tab/>
      </w:r>
      <w:r w:rsidR="003B6C77">
        <w:rPr>
          <w:rFonts w:ascii="Times New Roman" w:hAnsi="Times New Roman" w:cs="Times New Roman"/>
          <w:sz w:val="24"/>
          <w:szCs w:val="24"/>
          <w:lang w:val="en-US"/>
        </w:rPr>
        <w:t>6.5</w:t>
      </w:r>
      <w:r>
        <w:rPr>
          <w:rFonts w:ascii="Times New Roman" w:hAnsi="Times New Roman" w:cs="Times New Roman"/>
          <w:sz w:val="24"/>
          <w:szCs w:val="24"/>
          <w:lang w:val="en-US"/>
        </w:rPr>
        <w:t>%</w:t>
      </w:r>
    </w:p>
    <w:p w:rsidR="0090474D" w:rsidRDefault="0090474D" w:rsidP="00C2307C">
      <w:pPr>
        <w:tabs>
          <w:tab w:val="left" w:pos="2552"/>
          <w:tab w:val="left" w:pos="3686"/>
          <w:tab w:val="left" w:pos="4820"/>
          <w:tab w:val="left" w:pos="5954"/>
          <w:tab w:val="left" w:pos="7088"/>
          <w:tab w:val="left" w:pos="822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GDP</w:t>
      </w:r>
      <w:r>
        <w:rPr>
          <w:rFonts w:ascii="Times New Roman" w:hAnsi="Times New Roman" w:cs="Times New Roman"/>
          <w:sz w:val="24"/>
          <w:szCs w:val="24"/>
          <w:lang w:val="en-US"/>
        </w:rPr>
        <w:tab/>
      </w:r>
      <w:r w:rsidR="00162FE9">
        <w:rPr>
          <w:rFonts w:ascii="Times New Roman" w:hAnsi="Times New Roman" w:cs="Times New Roman"/>
          <w:sz w:val="24"/>
          <w:szCs w:val="24"/>
          <w:lang w:val="en-US"/>
        </w:rPr>
        <w:t>92.0</w:t>
      </w:r>
      <w:r w:rsidR="00162FE9">
        <w:rPr>
          <w:rFonts w:ascii="Times New Roman" w:hAnsi="Times New Roman" w:cs="Times New Roman"/>
          <w:sz w:val="24"/>
          <w:szCs w:val="24"/>
          <w:lang w:val="en-US"/>
        </w:rPr>
        <w:tab/>
      </w:r>
      <w:r w:rsidR="003B6C77">
        <w:rPr>
          <w:rFonts w:ascii="Times New Roman" w:hAnsi="Times New Roman" w:cs="Times New Roman"/>
          <w:sz w:val="24"/>
          <w:szCs w:val="24"/>
          <w:lang w:val="en-US"/>
        </w:rPr>
        <w:t>70.4</w:t>
      </w:r>
      <w:r w:rsidR="00162FE9">
        <w:rPr>
          <w:rFonts w:ascii="Times New Roman" w:hAnsi="Times New Roman" w:cs="Times New Roman"/>
          <w:sz w:val="24"/>
          <w:szCs w:val="24"/>
          <w:lang w:val="en-US"/>
        </w:rPr>
        <w:tab/>
      </w:r>
      <w:r w:rsidR="003B6C77">
        <w:rPr>
          <w:rFonts w:ascii="Times New Roman" w:hAnsi="Times New Roman" w:cs="Times New Roman"/>
          <w:sz w:val="24"/>
          <w:szCs w:val="24"/>
          <w:lang w:val="en-US"/>
        </w:rPr>
        <w:t>91.5</w:t>
      </w:r>
      <w:r w:rsidR="00162FE9">
        <w:rPr>
          <w:rFonts w:ascii="Times New Roman" w:hAnsi="Times New Roman" w:cs="Times New Roman"/>
          <w:sz w:val="24"/>
          <w:szCs w:val="24"/>
          <w:lang w:val="en-US"/>
        </w:rPr>
        <w:tab/>
        <w:t>10</w:t>
      </w:r>
      <w:r w:rsidR="003B6C77">
        <w:rPr>
          <w:rFonts w:ascii="Times New Roman" w:hAnsi="Times New Roman" w:cs="Times New Roman"/>
          <w:sz w:val="24"/>
          <w:szCs w:val="24"/>
          <w:lang w:val="en-US"/>
        </w:rPr>
        <w:t>3.4</w:t>
      </w:r>
      <w:r w:rsidR="003B6C77">
        <w:rPr>
          <w:rFonts w:ascii="Times New Roman" w:hAnsi="Times New Roman" w:cs="Times New Roman"/>
          <w:sz w:val="24"/>
          <w:szCs w:val="24"/>
          <w:lang w:val="en-US"/>
        </w:rPr>
        <w:tab/>
        <w:t>110.1</w:t>
      </w:r>
      <w:r>
        <w:rPr>
          <w:rFonts w:ascii="Times New Roman" w:hAnsi="Times New Roman" w:cs="Times New Roman"/>
          <w:sz w:val="24"/>
          <w:szCs w:val="24"/>
          <w:lang w:val="en-US"/>
        </w:rPr>
        <w:tab/>
      </w:r>
      <w:r w:rsidR="004D7584">
        <w:rPr>
          <w:rFonts w:ascii="Times New Roman" w:hAnsi="Times New Roman" w:cs="Times New Roman"/>
          <w:sz w:val="24"/>
          <w:szCs w:val="24"/>
          <w:lang w:val="en-US"/>
        </w:rPr>
        <w:t>467.4</w:t>
      </w:r>
    </w:p>
    <w:p w:rsidR="006B3F43" w:rsidRDefault="006B3F43" w:rsidP="006B3F43">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E12D92" w:rsidRDefault="00E12D92" w:rsidP="007C109B">
      <w:pPr>
        <w:spacing w:after="0" w:line="360" w:lineRule="auto"/>
        <w:jc w:val="both"/>
        <w:rPr>
          <w:rFonts w:ascii="Times New Roman" w:hAnsi="Times New Roman" w:cs="Times New Roman"/>
          <w:sz w:val="24"/>
          <w:szCs w:val="24"/>
          <w:lang w:val="en-US"/>
        </w:rPr>
      </w:pPr>
    </w:p>
    <w:p w:rsidR="003C52D7" w:rsidRDefault="003C52D7" w:rsidP="00F53D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these GDP losses of $87b </w:t>
      </w:r>
      <w:r w:rsidR="00F53D22">
        <w:rPr>
          <w:rFonts w:ascii="Times New Roman" w:hAnsi="Times New Roman" w:cs="Times New Roman"/>
          <w:sz w:val="24"/>
          <w:szCs w:val="24"/>
          <w:lang w:val="en-US"/>
        </w:rPr>
        <w:t xml:space="preserve">would have arisen without any </w:t>
      </w:r>
      <w:r w:rsidR="00470221">
        <w:rPr>
          <w:rFonts w:ascii="Times New Roman" w:hAnsi="Times New Roman" w:cs="Times New Roman"/>
          <w:sz w:val="24"/>
          <w:szCs w:val="24"/>
          <w:lang w:val="en-US"/>
        </w:rPr>
        <w:t xml:space="preserve">New Zealand </w:t>
      </w:r>
      <w:r w:rsidR="00F53D22">
        <w:rPr>
          <w:rFonts w:ascii="Times New Roman" w:hAnsi="Times New Roman" w:cs="Times New Roman"/>
          <w:sz w:val="24"/>
          <w:szCs w:val="24"/>
          <w:lang w:val="en-US"/>
        </w:rPr>
        <w:t>government-imposed restrictions, because some people would have reduced their interactions with others anyway; for example, a foreigner electing not to make a trip to New Zealand that they would otherwise have made</w:t>
      </w:r>
      <w:r>
        <w:rPr>
          <w:rFonts w:ascii="Times New Roman" w:hAnsi="Times New Roman" w:cs="Times New Roman"/>
          <w:sz w:val="24"/>
          <w:szCs w:val="24"/>
          <w:lang w:val="en-US"/>
        </w:rPr>
        <w:t xml:space="preserve">, or a New </w:t>
      </w:r>
      <w:proofErr w:type="gramStart"/>
      <w:r>
        <w:rPr>
          <w:rFonts w:ascii="Times New Roman" w:hAnsi="Times New Roman" w:cs="Times New Roman"/>
          <w:sz w:val="24"/>
          <w:szCs w:val="24"/>
          <w:lang w:val="en-US"/>
        </w:rPr>
        <w:t>Zealander choosing</w:t>
      </w:r>
      <w:proofErr w:type="gramEnd"/>
      <w:r>
        <w:rPr>
          <w:rFonts w:ascii="Times New Roman" w:hAnsi="Times New Roman" w:cs="Times New Roman"/>
          <w:sz w:val="24"/>
          <w:szCs w:val="24"/>
          <w:lang w:val="en-US"/>
        </w:rPr>
        <w:t xml:space="preserve"> to avoid cafes</w:t>
      </w:r>
      <w:r w:rsidR="00F53D22">
        <w:rPr>
          <w:rFonts w:ascii="Times New Roman" w:hAnsi="Times New Roman" w:cs="Times New Roman"/>
          <w:sz w:val="24"/>
          <w:szCs w:val="24"/>
          <w:lang w:val="en-US"/>
        </w:rPr>
        <w:t>.  Further losses would have arisen due to the additional actions of foreign governments; for example, foreign governments preventing their citizens from making foreign trips.  Further losses would have arisen if the New Zealand government had followed merely a mitigation strategy</w:t>
      </w:r>
      <w:r>
        <w:rPr>
          <w:rFonts w:ascii="Times New Roman" w:hAnsi="Times New Roman" w:cs="Times New Roman"/>
          <w:sz w:val="24"/>
          <w:szCs w:val="24"/>
          <w:lang w:val="en-US"/>
        </w:rPr>
        <w:t>, which includes border closures</w:t>
      </w:r>
      <w:r w:rsidR="00F53D22">
        <w:rPr>
          <w:rFonts w:ascii="Times New Roman" w:hAnsi="Times New Roman" w:cs="Times New Roman"/>
          <w:sz w:val="24"/>
          <w:szCs w:val="24"/>
          <w:lang w:val="en-US"/>
        </w:rPr>
        <w:t xml:space="preserve">.  </w:t>
      </w:r>
      <w:r w:rsidR="00CB3689">
        <w:rPr>
          <w:rFonts w:ascii="Times New Roman" w:hAnsi="Times New Roman" w:cs="Times New Roman"/>
          <w:sz w:val="24"/>
          <w:szCs w:val="24"/>
          <w:lang w:val="en-US"/>
        </w:rPr>
        <w:t>Finally, f</w:t>
      </w:r>
      <w:r w:rsidR="00F53D22">
        <w:rPr>
          <w:rFonts w:ascii="Times New Roman" w:hAnsi="Times New Roman" w:cs="Times New Roman"/>
          <w:sz w:val="24"/>
          <w:szCs w:val="24"/>
          <w:lang w:val="en-US"/>
        </w:rPr>
        <w:t xml:space="preserve">urther losses would have arisen from the New Zealand government instead following a </w:t>
      </w:r>
      <w:r w:rsidR="009A066A">
        <w:rPr>
          <w:rFonts w:ascii="Times New Roman" w:hAnsi="Times New Roman" w:cs="Times New Roman"/>
          <w:sz w:val="24"/>
          <w:szCs w:val="24"/>
          <w:lang w:val="en-US"/>
        </w:rPr>
        <w:t xml:space="preserve">lockdown </w:t>
      </w:r>
      <w:r w:rsidR="00F53D22">
        <w:rPr>
          <w:rFonts w:ascii="Times New Roman" w:hAnsi="Times New Roman" w:cs="Times New Roman"/>
          <w:sz w:val="24"/>
          <w:szCs w:val="24"/>
          <w:lang w:val="en-US"/>
        </w:rPr>
        <w:t xml:space="preserve">strategy.  It is only the last category of these losses </w:t>
      </w:r>
      <w:r w:rsidR="00F53D22">
        <w:rPr>
          <w:rFonts w:ascii="Times New Roman" w:hAnsi="Times New Roman" w:cs="Times New Roman"/>
          <w:sz w:val="24"/>
          <w:szCs w:val="24"/>
          <w:lang w:val="en-US"/>
        </w:rPr>
        <w:lastRenderedPageBreak/>
        <w:t xml:space="preserve">that can be attributed to the New Zealand government choosing </w:t>
      </w:r>
      <w:r w:rsidR="00D67305">
        <w:rPr>
          <w:rFonts w:ascii="Times New Roman" w:hAnsi="Times New Roman" w:cs="Times New Roman"/>
          <w:sz w:val="24"/>
          <w:szCs w:val="24"/>
          <w:lang w:val="en-US"/>
        </w:rPr>
        <w:t xml:space="preserve">a </w:t>
      </w:r>
      <w:r w:rsidR="009A066A">
        <w:rPr>
          <w:rFonts w:ascii="Times New Roman" w:hAnsi="Times New Roman" w:cs="Times New Roman"/>
          <w:sz w:val="24"/>
          <w:szCs w:val="24"/>
          <w:lang w:val="en-US"/>
        </w:rPr>
        <w:t>lockdown</w:t>
      </w:r>
      <w:r w:rsidR="00F53D22">
        <w:rPr>
          <w:rFonts w:ascii="Times New Roman" w:hAnsi="Times New Roman" w:cs="Times New Roman"/>
          <w:sz w:val="24"/>
          <w:szCs w:val="24"/>
          <w:lang w:val="en-US"/>
        </w:rPr>
        <w:t xml:space="preserve"> </w:t>
      </w:r>
      <w:r w:rsidR="0089317C">
        <w:rPr>
          <w:rFonts w:ascii="Times New Roman" w:hAnsi="Times New Roman" w:cs="Times New Roman"/>
          <w:sz w:val="24"/>
          <w:szCs w:val="24"/>
          <w:lang w:val="en-US"/>
        </w:rPr>
        <w:t>policy</w:t>
      </w:r>
      <w:r w:rsidR="002E2295">
        <w:rPr>
          <w:rFonts w:ascii="Times New Roman" w:hAnsi="Times New Roman" w:cs="Times New Roman"/>
          <w:sz w:val="24"/>
          <w:szCs w:val="24"/>
          <w:lang w:val="en-US"/>
        </w:rPr>
        <w:t xml:space="preserve"> </w:t>
      </w:r>
      <w:r w:rsidR="00F53D22">
        <w:rPr>
          <w:rFonts w:ascii="Times New Roman" w:hAnsi="Times New Roman" w:cs="Times New Roman"/>
          <w:sz w:val="24"/>
          <w:szCs w:val="24"/>
          <w:lang w:val="en-US"/>
        </w:rPr>
        <w:t xml:space="preserve">rather than </w:t>
      </w:r>
      <w:r w:rsidR="00D67305">
        <w:rPr>
          <w:rFonts w:ascii="Times New Roman" w:hAnsi="Times New Roman" w:cs="Times New Roman"/>
          <w:sz w:val="24"/>
          <w:szCs w:val="24"/>
          <w:lang w:val="en-US"/>
        </w:rPr>
        <w:t xml:space="preserve">a </w:t>
      </w:r>
      <w:r w:rsidR="00F53D22">
        <w:rPr>
          <w:rFonts w:ascii="Times New Roman" w:hAnsi="Times New Roman" w:cs="Times New Roman"/>
          <w:sz w:val="24"/>
          <w:szCs w:val="24"/>
          <w:lang w:val="en-US"/>
        </w:rPr>
        <w:t>mitigation</w:t>
      </w:r>
      <w:r w:rsidR="00D67305">
        <w:rPr>
          <w:rFonts w:ascii="Times New Roman" w:hAnsi="Times New Roman" w:cs="Times New Roman"/>
          <w:sz w:val="24"/>
          <w:szCs w:val="24"/>
          <w:lang w:val="en-US"/>
        </w:rPr>
        <w:t xml:space="preserve"> policy</w:t>
      </w:r>
      <w:r w:rsidR="00F53D22">
        <w:rPr>
          <w:rFonts w:ascii="Times New Roman" w:hAnsi="Times New Roman" w:cs="Times New Roman"/>
          <w:sz w:val="24"/>
          <w:szCs w:val="24"/>
          <w:lang w:val="en-US"/>
        </w:rPr>
        <w:t xml:space="preserve">.  Estimating the proportion arising from this last category is </w:t>
      </w:r>
      <w:r w:rsidR="00C2307C">
        <w:rPr>
          <w:rFonts w:ascii="Times New Roman" w:hAnsi="Times New Roman" w:cs="Times New Roman"/>
          <w:sz w:val="24"/>
          <w:szCs w:val="24"/>
          <w:lang w:val="en-US"/>
        </w:rPr>
        <w:t xml:space="preserve">problematic.  However, the difference between the </w:t>
      </w:r>
      <w:r w:rsidR="005751BB">
        <w:rPr>
          <w:rFonts w:ascii="Times New Roman" w:hAnsi="Times New Roman" w:cs="Times New Roman"/>
          <w:sz w:val="24"/>
          <w:szCs w:val="24"/>
          <w:lang w:val="en-US"/>
        </w:rPr>
        <w:t xml:space="preserve">S1 and S3 </w:t>
      </w:r>
      <w:r w:rsidR="00C2307C">
        <w:rPr>
          <w:rFonts w:ascii="Times New Roman" w:hAnsi="Times New Roman" w:cs="Times New Roman"/>
          <w:sz w:val="24"/>
          <w:szCs w:val="24"/>
          <w:lang w:val="en-US"/>
        </w:rPr>
        <w:t>scenarios shown in Table 1 is simply in how long Levels 3 and 4 persist (two months in S</w:t>
      </w:r>
      <w:r w:rsidR="005751BB">
        <w:rPr>
          <w:rFonts w:ascii="Times New Roman" w:hAnsi="Times New Roman" w:cs="Times New Roman"/>
          <w:sz w:val="24"/>
          <w:szCs w:val="24"/>
          <w:lang w:val="en-US"/>
        </w:rPr>
        <w:t>1 and twelve months</w:t>
      </w:r>
      <w:r w:rsidR="00C2307C">
        <w:rPr>
          <w:rFonts w:ascii="Times New Roman" w:hAnsi="Times New Roman" w:cs="Times New Roman"/>
          <w:sz w:val="24"/>
          <w:szCs w:val="24"/>
          <w:lang w:val="en-US"/>
        </w:rPr>
        <w:t xml:space="preserve"> </w:t>
      </w:r>
      <w:r w:rsidR="005751BB">
        <w:rPr>
          <w:rFonts w:ascii="Times New Roman" w:hAnsi="Times New Roman" w:cs="Times New Roman"/>
          <w:sz w:val="24"/>
          <w:szCs w:val="24"/>
          <w:lang w:val="en-US"/>
        </w:rPr>
        <w:t>in S3</w:t>
      </w:r>
      <w:r w:rsidR="00FB550F">
        <w:rPr>
          <w:rFonts w:ascii="Times New Roman" w:hAnsi="Times New Roman" w:cs="Times New Roman"/>
          <w:sz w:val="24"/>
          <w:szCs w:val="24"/>
          <w:lang w:val="en-US"/>
        </w:rPr>
        <w:t>, which is a multiple of 6</w:t>
      </w:r>
      <w:r w:rsidR="00C2307C">
        <w:rPr>
          <w:rFonts w:ascii="Times New Roman" w:hAnsi="Times New Roman" w:cs="Times New Roman"/>
          <w:sz w:val="24"/>
          <w:szCs w:val="24"/>
          <w:lang w:val="en-US"/>
        </w:rPr>
        <w:t>)</w:t>
      </w:r>
      <w:r w:rsidR="0045780C">
        <w:rPr>
          <w:rFonts w:ascii="Times New Roman" w:hAnsi="Times New Roman" w:cs="Times New Roman"/>
          <w:sz w:val="24"/>
          <w:szCs w:val="24"/>
          <w:lang w:val="en-US"/>
        </w:rPr>
        <w:t xml:space="preserve">.  In addition, </w:t>
      </w:r>
      <w:r w:rsidR="00C2307C">
        <w:rPr>
          <w:rFonts w:ascii="Times New Roman" w:hAnsi="Times New Roman" w:cs="Times New Roman"/>
          <w:sz w:val="24"/>
          <w:szCs w:val="24"/>
          <w:lang w:val="en-US"/>
        </w:rPr>
        <w:t>going from S1 to S</w:t>
      </w:r>
      <w:r w:rsidR="005751BB">
        <w:rPr>
          <w:rFonts w:ascii="Times New Roman" w:hAnsi="Times New Roman" w:cs="Times New Roman"/>
          <w:sz w:val="24"/>
          <w:szCs w:val="24"/>
          <w:lang w:val="en-US"/>
        </w:rPr>
        <w:t>3</w:t>
      </w:r>
      <w:r w:rsidR="00C2307C">
        <w:rPr>
          <w:rFonts w:ascii="Times New Roman" w:hAnsi="Times New Roman" w:cs="Times New Roman"/>
          <w:sz w:val="24"/>
          <w:szCs w:val="24"/>
          <w:lang w:val="en-US"/>
        </w:rPr>
        <w:t xml:space="preserve"> adds a further loss in GDP</w:t>
      </w:r>
      <w:r w:rsidR="003410AF">
        <w:rPr>
          <w:rFonts w:ascii="Times New Roman" w:hAnsi="Times New Roman" w:cs="Times New Roman"/>
          <w:sz w:val="24"/>
          <w:szCs w:val="24"/>
          <w:lang w:val="en-US"/>
        </w:rPr>
        <w:t xml:space="preserve"> equal to 44% of the 2019 GDP (511.4 – 467.4)</w:t>
      </w:r>
      <w:r w:rsidR="00C2307C">
        <w:rPr>
          <w:rFonts w:ascii="Times New Roman" w:hAnsi="Times New Roman" w:cs="Times New Roman"/>
          <w:sz w:val="24"/>
          <w:szCs w:val="24"/>
          <w:lang w:val="en-US"/>
        </w:rPr>
        <w:t xml:space="preserve">, and this relates wholly to the last category of loss (the loss from </w:t>
      </w:r>
      <w:r w:rsidR="009A066A">
        <w:rPr>
          <w:rFonts w:ascii="Times New Roman" w:hAnsi="Times New Roman" w:cs="Times New Roman"/>
          <w:sz w:val="24"/>
          <w:szCs w:val="24"/>
          <w:lang w:val="en-US"/>
        </w:rPr>
        <w:t>lockdown</w:t>
      </w:r>
      <w:r w:rsidR="00C2307C">
        <w:rPr>
          <w:rFonts w:ascii="Times New Roman" w:hAnsi="Times New Roman" w:cs="Times New Roman"/>
          <w:sz w:val="24"/>
          <w:szCs w:val="24"/>
          <w:lang w:val="en-US"/>
        </w:rPr>
        <w:t xml:space="preserve"> rather than mitigation</w:t>
      </w:r>
      <w:r w:rsidR="003410AF">
        <w:rPr>
          <w:rFonts w:ascii="Times New Roman" w:hAnsi="Times New Roman" w:cs="Times New Roman"/>
          <w:sz w:val="24"/>
          <w:szCs w:val="24"/>
          <w:lang w:val="en-US"/>
        </w:rPr>
        <w:t xml:space="preserve"> by the New Zealand government</w:t>
      </w:r>
      <w:r w:rsidR="00C2307C">
        <w:rPr>
          <w:rFonts w:ascii="Times New Roman" w:hAnsi="Times New Roman" w:cs="Times New Roman"/>
          <w:sz w:val="24"/>
          <w:szCs w:val="24"/>
          <w:lang w:val="en-US"/>
        </w:rPr>
        <w:t>, with all other effects held constant)</w:t>
      </w:r>
      <w:r w:rsidR="00F53D22">
        <w:rPr>
          <w:rFonts w:ascii="Times New Roman" w:hAnsi="Times New Roman" w:cs="Times New Roman"/>
          <w:sz w:val="24"/>
          <w:szCs w:val="24"/>
          <w:lang w:val="en-US"/>
        </w:rPr>
        <w:t xml:space="preserve">.  </w:t>
      </w:r>
      <w:r w:rsidR="00C2307C">
        <w:rPr>
          <w:rFonts w:ascii="Times New Roman" w:hAnsi="Times New Roman" w:cs="Times New Roman"/>
          <w:sz w:val="24"/>
          <w:szCs w:val="24"/>
          <w:lang w:val="en-US"/>
        </w:rPr>
        <w:t xml:space="preserve">This suggests that </w:t>
      </w:r>
      <w:r w:rsidR="002406FC">
        <w:rPr>
          <w:rFonts w:ascii="Times New Roman" w:hAnsi="Times New Roman" w:cs="Times New Roman"/>
          <w:sz w:val="24"/>
          <w:szCs w:val="24"/>
          <w:lang w:val="en-US"/>
        </w:rPr>
        <w:t xml:space="preserve">the </w:t>
      </w:r>
      <w:r w:rsidR="00FB550F">
        <w:rPr>
          <w:rFonts w:ascii="Times New Roman" w:hAnsi="Times New Roman" w:cs="Times New Roman"/>
          <w:sz w:val="24"/>
          <w:szCs w:val="24"/>
          <w:lang w:val="en-US"/>
        </w:rPr>
        <w:t xml:space="preserve">GDP loss within S1 </w:t>
      </w:r>
      <w:r w:rsidR="007D396C">
        <w:rPr>
          <w:rFonts w:ascii="Times New Roman" w:hAnsi="Times New Roman" w:cs="Times New Roman"/>
          <w:sz w:val="24"/>
          <w:szCs w:val="24"/>
          <w:lang w:val="en-US"/>
        </w:rPr>
        <w:t xml:space="preserve">arising from </w:t>
      </w:r>
      <w:r w:rsidR="00FB550F">
        <w:rPr>
          <w:rFonts w:ascii="Times New Roman" w:hAnsi="Times New Roman" w:cs="Times New Roman"/>
          <w:sz w:val="24"/>
          <w:szCs w:val="24"/>
          <w:lang w:val="en-US"/>
        </w:rPr>
        <w:t xml:space="preserve">the </w:t>
      </w:r>
      <w:r w:rsidR="002406FC">
        <w:rPr>
          <w:rFonts w:ascii="Times New Roman" w:hAnsi="Times New Roman" w:cs="Times New Roman"/>
          <w:sz w:val="24"/>
          <w:szCs w:val="24"/>
          <w:lang w:val="en-US"/>
        </w:rPr>
        <w:t>New Zealand government</w:t>
      </w:r>
      <w:r w:rsidR="00FB550F">
        <w:rPr>
          <w:rFonts w:ascii="Times New Roman" w:hAnsi="Times New Roman" w:cs="Times New Roman"/>
          <w:sz w:val="24"/>
          <w:szCs w:val="24"/>
          <w:lang w:val="en-US"/>
        </w:rPr>
        <w:t>’s</w:t>
      </w:r>
      <w:r w:rsidR="002406FC">
        <w:rPr>
          <w:rFonts w:ascii="Times New Roman" w:hAnsi="Times New Roman" w:cs="Times New Roman"/>
          <w:sz w:val="24"/>
          <w:szCs w:val="24"/>
          <w:lang w:val="en-US"/>
        </w:rPr>
        <w:t xml:space="preserve"> </w:t>
      </w:r>
      <w:r w:rsidR="00FB550F">
        <w:rPr>
          <w:rFonts w:ascii="Times New Roman" w:hAnsi="Times New Roman" w:cs="Times New Roman"/>
          <w:sz w:val="24"/>
          <w:szCs w:val="24"/>
          <w:lang w:val="en-US"/>
        </w:rPr>
        <w:t>adoption of</w:t>
      </w:r>
      <w:r w:rsidR="00C2307C">
        <w:rPr>
          <w:rFonts w:ascii="Times New Roman" w:hAnsi="Times New Roman" w:cs="Times New Roman"/>
          <w:sz w:val="24"/>
          <w:szCs w:val="24"/>
          <w:lang w:val="en-US"/>
        </w:rPr>
        <w:t xml:space="preserve"> a </w:t>
      </w:r>
      <w:r w:rsidR="009A066A">
        <w:rPr>
          <w:rFonts w:ascii="Times New Roman" w:hAnsi="Times New Roman" w:cs="Times New Roman"/>
          <w:sz w:val="24"/>
          <w:szCs w:val="24"/>
          <w:lang w:val="en-US"/>
        </w:rPr>
        <w:t>lockdown</w:t>
      </w:r>
      <w:r w:rsidR="00C2307C">
        <w:rPr>
          <w:rFonts w:ascii="Times New Roman" w:hAnsi="Times New Roman" w:cs="Times New Roman"/>
          <w:sz w:val="24"/>
          <w:szCs w:val="24"/>
          <w:lang w:val="en-US"/>
        </w:rPr>
        <w:t xml:space="preserve"> rather than a mitigation policy </w:t>
      </w:r>
      <w:r w:rsidR="00FB550F">
        <w:rPr>
          <w:rFonts w:ascii="Times New Roman" w:hAnsi="Times New Roman" w:cs="Times New Roman"/>
          <w:sz w:val="24"/>
          <w:szCs w:val="24"/>
          <w:lang w:val="en-US"/>
        </w:rPr>
        <w:t xml:space="preserve">would be about </w:t>
      </w:r>
      <w:r w:rsidR="0028470C">
        <w:rPr>
          <w:rFonts w:ascii="Times New Roman" w:hAnsi="Times New Roman" w:cs="Times New Roman"/>
          <w:sz w:val="24"/>
          <w:szCs w:val="24"/>
          <w:lang w:val="en-US"/>
        </w:rPr>
        <w:t>1/5</w:t>
      </w:r>
      <w:r w:rsidR="00C2307C">
        <w:rPr>
          <w:rFonts w:ascii="Times New Roman" w:hAnsi="Times New Roman" w:cs="Times New Roman"/>
          <w:sz w:val="24"/>
          <w:szCs w:val="24"/>
          <w:lang w:val="en-US"/>
        </w:rPr>
        <w:t xml:space="preserve"> of that in moving from S1 to </w:t>
      </w:r>
      <w:r w:rsidR="005751BB">
        <w:rPr>
          <w:rFonts w:ascii="Times New Roman" w:hAnsi="Times New Roman" w:cs="Times New Roman"/>
          <w:sz w:val="24"/>
          <w:szCs w:val="24"/>
          <w:lang w:val="en-US"/>
        </w:rPr>
        <w:t xml:space="preserve">S3, </w:t>
      </w:r>
      <w:r w:rsidR="00FB550F">
        <w:rPr>
          <w:rFonts w:ascii="Times New Roman" w:hAnsi="Times New Roman" w:cs="Times New Roman"/>
          <w:sz w:val="24"/>
          <w:szCs w:val="24"/>
          <w:lang w:val="en-US"/>
        </w:rPr>
        <w:t xml:space="preserve">which is </w:t>
      </w:r>
      <w:r w:rsidR="0028470C">
        <w:rPr>
          <w:rFonts w:ascii="Times New Roman" w:hAnsi="Times New Roman" w:cs="Times New Roman"/>
          <w:sz w:val="24"/>
          <w:szCs w:val="24"/>
          <w:lang w:val="en-US"/>
        </w:rPr>
        <w:t>44%/5</w:t>
      </w:r>
      <w:r w:rsidR="003410AF">
        <w:rPr>
          <w:rFonts w:ascii="Times New Roman" w:hAnsi="Times New Roman" w:cs="Times New Roman"/>
          <w:sz w:val="24"/>
          <w:szCs w:val="24"/>
          <w:lang w:val="en-US"/>
        </w:rPr>
        <w:t xml:space="preserve"> = </w:t>
      </w:r>
      <w:r w:rsidR="0028470C">
        <w:rPr>
          <w:rFonts w:ascii="Times New Roman" w:hAnsi="Times New Roman" w:cs="Times New Roman"/>
          <w:sz w:val="24"/>
          <w:szCs w:val="24"/>
          <w:lang w:val="en-US"/>
        </w:rPr>
        <w:t>8.8%</w:t>
      </w:r>
      <w:r w:rsidR="00C2307C">
        <w:rPr>
          <w:rFonts w:ascii="Times New Roman" w:hAnsi="Times New Roman" w:cs="Times New Roman"/>
          <w:sz w:val="24"/>
          <w:szCs w:val="24"/>
          <w:lang w:val="en-US"/>
        </w:rPr>
        <w:t xml:space="preserve">.  </w:t>
      </w:r>
      <w:r w:rsidR="00F53D22">
        <w:rPr>
          <w:rFonts w:ascii="Times New Roman" w:hAnsi="Times New Roman" w:cs="Times New Roman"/>
          <w:sz w:val="24"/>
          <w:szCs w:val="24"/>
          <w:lang w:val="en-US"/>
        </w:rPr>
        <w:t xml:space="preserve">So, </w:t>
      </w:r>
      <w:r w:rsidR="007D396C">
        <w:rPr>
          <w:rFonts w:ascii="Times New Roman" w:hAnsi="Times New Roman" w:cs="Times New Roman"/>
          <w:sz w:val="24"/>
          <w:szCs w:val="24"/>
          <w:lang w:val="en-US"/>
        </w:rPr>
        <w:t xml:space="preserve">under S1, </w:t>
      </w:r>
      <w:r w:rsidR="00F53D22">
        <w:rPr>
          <w:rFonts w:ascii="Times New Roman" w:hAnsi="Times New Roman" w:cs="Times New Roman"/>
          <w:sz w:val="24"/>
          <w:szCs w:val="24"/>
          <w:lang w:val="en-US"/>
        </w:rPr>
        <w:t xml:space="preserve">the GDP loss from </w:t>
      </w:r>
      <w:r w:rsidR="009A066A">
        <w:rPr>
          <w:rFonts w:ascii="Times New Roman" w:hAnsi="Times New Roman" w:cs="Times New Roman"/>
          <w:sz w:val="24"/>
          <w:szCs w:val="24"/>
          <w:lang w:val="en-US"/>
        </w:rPr>
        <w:t>lockdown</w:t>
      </w:r>
      <w:r w:rsidR="00F43F17">
        <w:rPr>
          <w:rFonts w:ascii="Times New Roman" w:hAnsi="Times New Roman" w:cs="Times New Roman"/>
          <w:sz w:val="24"/>
          <w:szCs w:val="24"/>
          <w:lang w:val="en-US"/>
        </w:rPr>
        <w:t xml:space="preserve"> r</w:t>
      </w:r>
      <w:r w:rsidR="00F53D22">
        <w:rPr>
          <w:rFonts w:ascii="Times New Roman" w:hAnsi="Times New Roman" w:cs="Times New Roman"/>
          <w:sz w:val="24"/>
          <w:szCs w:val="24"/>
          <w:lang w:val="en-US"/>
        </w:rPr>
        <w:t xml:space="preserve">ather than mitigation </w:t>
      </w:r>
      <w:r w:rsidR="00791AFC">
        <w:rPr>
          <w:rFonts w:ascii="Times New Roman" w:hAnsi="Times New Roman" w:cs="Times New Roman"/>
          <w:sz w:val="24"/>
          <w:szCs w:val="24"/>
          <w:lang w:val="en-US"/>
        </w:rPr>
        <w:t>would be 8.8</w:t>
      </w:r>
      <w:r w:rsidR="00C2307C">
        <w:rPr>
          <w:rFonts w:ascii="Times New Roman" w:hAnsi="Times New Roman" w:cs="Times New Roman"/>
          <w:sz w:val="24"/>
          <w:szCs w:val="24"/>
          <w:lang w:val="en-US"/>
        </w:rPr>
        <w:t xml:space="preserve">% </w:t>
      </w:r>
      <w:r w:rsidR="002A04AB">
        <w:rPr>
          <w:rFonts w:ascii="Times New Roman" w:hAnsi="Times New Roman" w:cs="Times New Roman"/>
          <w:sz w:val="24"/>
          <w:szCs w:val="24"/>
          <w:lang w:val="en-US"/>
        </w:rPr>
        <w:t xml:space="preserve">of </w:t>
      </w:r>
      <w:r w:rsidR="00791AFC">
        <w:rPr>
          <w:rFonts w:ascii="Times New Roman" w:hAnsi="Times New Roman" w:cs="Times New Roman"/>
          <w:sz w:val="24"/>
          <w:szCs w:val="24"/>
          <w:lang w:val="en-US"/>
        </w:rPr>
        <w:t>2019 GDP, i.e., $27</w:t>
      </w:r>
      <w:r w:rsidR="00F53D22">
        <w:rPr>
          <w:rFonts w:ascii="Times New Roman" w:hAnsi="Times New Roman" w:cs="Times New Roman"/>
          <w:sz w:val="24"/>
          <w:szCs w:val="24"/>
          <w:lang w:val="en-US"/>
        </w:rPr>
        <w:t xml:space="preserve">b.  </w:t>
      </w:r>
      <w:r w:rsidR="009D418B">
        <w:rPr>
          <w:rFonts w:ascii="Times New Roman" w:hAnsi="Times New Roman" w:cs="Times New Roman"/>
          <w:sz w:val="24"/>
          <w:szCs w:val="24"/>
          <w:lang w:val="en-US"/>
        </w:rPr>
        <w:t xml:space="preserve">The remainder of the 28% GDP loss in S1 is due to the other contributors listed above.  </w:t>
      </w:r>
    </w:p>
    <w:p w:rsidR="003C52D7" w:rsidRDefault="003C52D7" w:rsidP="00F53D22">
      <w:pPr>
        <w:spacing w:after="0" w:line="360" w:lineRule="auto"/>
        <w:jc w:val="both"/>
        <w:rPr>
          <w:rFonts w:ascii="Times New Roman" w:hAnsi="Times New Roman" w:cs="Times New Roman"/>
          <w:sz w:val="24"/>
          <w:szCs w:val="24"/>
          <w:lang w:val="en-US"/>
        </w:rPr>
      </w:pPr>
    </w:p>
    <w:p w:rsidR="00D144F1" w:rsidRPr="00D144F1" w:rsidRDefault="00D144F1" w:rsidP="00F53D22">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2.3 </w:t>
      </w:r>
      <w:proofErr w:type="gramStart"/>
      <w:r>
        <w:rPr>
          <w:rFonts w:ascii="Times New Roman" w:hAnsi="Times New Roman" w:cs="Times New Roman"/>
          <w:i/>
          <w:sz w:val="24"/>
          <w:szCs w:val="24"/>
          <w:lang w:val="en-US"/>
        </w:rPr>
        <w:t>Cost</w:t>
      </w:r>
      <w:proofErr w:type="gramEnd"/>
      <w:r>
        <w:rPr>
          <w:rFonts w:ascii="Times New Roman" w:hAnsi="Times New Roman" w:cs="Times New Roman"/>
          <w:i/>
          <w:sz w:val="24"/>
          <w:szCs w:val="24"/>
          <w:lang w:val="en-US"/>
        </w:rPr>
        <w:t xml:space="preserve"> per QALY Saved</w:t>
      </w:r>
    </w:p>
    <w:p w:rsidR="00F53D22" w:rsidRDefault="0074465E" w:rsidP="00F53D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Coupling this </w:t>
      </w:r>
      <w:r w:rsidR="00894A5F">
        <w:rPr>
          <w:rFonts w:ascii="Times New Roman" w:hAnsi="Times New Roman" w:cs="Times New Roman"/>
          <w:sz w:val="24"/>
          <w:szCs w:val="24"/>
          <w:lang w:val="en-US"/>
        </w:rPr>
        <w:t>$27</w:t>
      </w:r>
      <w:r w:rsidR="009D418B">
        <w:rPr>
          <w:rFonts w:ascii="Times New Roman" w:hAnsi="Times New Roman" w:cs="Times New Roman"/>
          <w:sz w:val="24"/>
          <w:szCs w:val="24"/>
          <w:lang w:val="en-US"/>
        </w:rPr>
        <w:t xml:space="preserve">b loss </w:t>
      </w:r>
      <w:r>
        <w:rPr>
          <w:rFonts w:ascii="Times New Roman" w:hAnsi="Times New Roman" w:cs="Times New Roman"/>
          <w:sz w:val="24"/>
          <w:szCs w:val="24"/>
          <w:lang w:val="en-US"/>
        </w:rPr>
        <w:t xml:space="preserve">with the highest </w:t>
      </w:r>
      <w:r w:rsidR="002624A3">
        <w:rPr>
          <w:rFonts w:ascii="Times New Roman" w:hAnsi="Times New Roman" w:cs="Times New Roman"/>
          <w:sz w:val="24"/>
          <w:szCs w:val="24"/>
          <w:lang w:val="en-US"/>
        </w:rPr>
        <w:t xml:space="preserve">estimate of </w:t>
      </w:r>
      <w:r>
        <w:rPr>
          <w:rFonts w:ascii="Times New Roman" w:hAnsi="Times New Roman" w:cs="Times New Roman"/>
          <w:sz w:val="24"/>
          <w:szCs w:val="24"/>
          <w:lang w:val="en-US"/>
        </w:rPr>
        <w:t xml:space="preserve">QALYs saved of 120,400, the </w:t>
      </w:r>
      <w:r w:rsidR="00F53D22">
        <w:rPr>
          <w:rFonts w:ascii="Times New Roman" w:hAnsi="Times New Roman" w:cs="Times New Roman"/>
          <w:sz w:val="24"/>
          <w:szCs w:val="24"/>
          <w:lang w:val="en-US"/>
        </w:rPr>
        <w:t xml:space="preserve">cost per QALY saved would then be </w:t>
      </w:r>
      <w:r w:rsidR="004D1AE1">
        <w:rPr>
          <w:rFonts w:ascii="Times New Roman" w:hAnsi="Times New Roman" w:cs="Times New Roman"/>
          <w:sz w:val="24"/>
          <w:szCs w:val="24"/>
          <w:lang w:val="en-US"/>
        </w:rPr>
        <w:t>$</w:t>
      </w:r>
      <w:r w:rsidR="00894A5F">
        <w:rPr>
          <w:rFonts w:ascii="Times New Roman" w:hAnsi="Times New Roman" w:cs="Times New Roman"/>
          <w:sz w:val="24"/>
          <w:szCs w:val="24"/>
          <w:lang w:val="en-US"/>
        </w:rPr>
        <w:t>224</w:t>
      </w:r>
      <w:r w:rsidR="004D1AE1">
        <w:rPr>
          <w:rFonts w:ascii="Times New Roman" w:hAnsi="Times New Roman" w:cs="Times New Roman"/>
          <w:sz w:val="24"/>
          <w:szCs w:val="24"/>
          <w:lang w:val="en-US"/>
        </w:rPr>
        <w:t xml:space="preserve">,000 </w:t>
      </w:r>
      <w:r w:rsidR="00F53D22">
        <w:rPr>
          <w:rFonts w:ascii="Times New Roman" w:hAnsi="Times New Roman" w:cs="Times New Roman"/>
          <w:sz w:val="24"/>
          <w:szCs w:val="24"/>
          <w:lang w:val="en-US"/>
        </w:rPr>
        <w:t>as follows:</w:t>
      </w:r>
    </w:p>
    <w:p w:rsidR="004D1AE1" w:rsidRDefault="004D1AE1" w:rsidP="00F53D22">
      <w:pPr>
        <w:spacing w:after="0" w:line="360" w:lineRule="auto"/>
        <w:jc w:val="both"/>
        <w:rPr>
          <w:rFonts w:ascii="Times New Roman" w:hAnsi="Times New Roman" w:cs="Times New Roman"/>
          <w:sz w:val="24"/>
          <w:szCs w:val="24"/>
          <w:lang w:val="en-US"/>
        </w:rPr>
      </w:pPr>
    </w:p>
    <w:p w:rsidR="00F53D22" w:rsidRDefault="00F53D22" w:rsidP="00F53D22">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$27b</m:t>
              </m:r>
            </m:num>
            <m:den>
              <m:r>
                <w:rPr>
                  <w:rFonts w:ascii="Cambria Math" w:hAnsi="Cambria Math" w:cs="Times New Roman"/>
                  <w:sz w:val="24"/>
                  <w:szCs w:val="24"/>
                  <w:lang w:val="en-US"/>
                </w:rPr>
                <m:t>120,400</m:t>
              </m:r>
            </m:den>
          </m:f>
          <m:r>
            <w:rPr>
              <w:rFonts w:ascii="Cambria Math" w:hAnsi="Cambria Math" w:cs="Times New Roman"/>
              <w:sz w:val="24"/>
              <w:szCs w:val="24"/>
              <w:lang w:val="en-US"/>
            </w:rPr>
            <m:t xml:space="preserve">=$224,000                                                        (1) </m:t>
          </m:r>
        </m:oMath>
      </m:oMathPara>
    </w:p>
    <w:p w:rsidR="00F53D22" w:rsidRDefault="00F53D22" w:rsidP="00F53D22">
      <w:pPr>
        <w:spacing w:after="0" w:line="360" w:lineRule="auto"/>
        <w:jc w:val="center"/>
        <w:rPr>
          <w:rFonts w:ascii="Times New Roman" w:hAnsi="Times New Roman" w:cs="Times New Roman"/>
          <w:sz w:val="24"/>
          <w:szCs w:val="24"/>
          <w:lang w:val="en-US"/>
        </w:rPr>
      </w:pPr>
    </w:p>
    <w:p w:rsidR="00CA10B6" w:rsidRDefault="00F53D22" w:rsidP="00FE1D3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a lower bound on the cost per QALY saved </w:t>
      </w:r>
      <w:r w:rsidR="00F43F17">
        <w:rPr>
          <w:rFonts w:ascii="Times New Roman" w:hAnsi="Times New Roman" w:cs="Times New Roman"/>
          <w:color w:val="000000"/>
          <w:sz w:val="24"/>
          <w:szCs w:val="24"/>
        </w:rPr>
        <w:t xml:space="preserve">from </w:t>
      </w:r>
      <w:r w:rsidR="009A066A">
        <w:rPr>
          <w:rFonts w:ascii="Times New Roman" w:hAnsi="Times New Roman" w:cs="Times New Roman"/>
          <w:color w:val="000000"/>
          <w:sz w:val="24"/>
          <w:szCs w:val="24"/>
        </w:rPr>
        <w:t>lockdown</w:t>
      </w:r>
      <w:r w:rsidR="00F43F17">
        <w:rPr>
          <w:rFonts w:ascii="Times New Roman" w:hAnsi="Times New Roman" w:cs="Times New Roman"/>
          <w:color w:val="000000"/>
          <w:sz w:val="24"/>
          <w:szCs w:val="24"/>
        </w:rPr>
        <w:t xml:space="preserve"> rather than mitigation </w:t>
      </w:r>
      <w:r>
        <w:rPr>
          <w:rFonts w:ascii="Times New Roman" w:hAnsi="Times New Roman" w:cs="Times New Roman"/>
          <w:color w:val="000000"/>
          <w:sz w:val="24"/>
          <w:szCs w:val="24"/>
        </w:rPr>
        <w:t xml:space="preserve">because the </w:t>
      </w:r>
      <w:r w:rsidR="00B62227">
        <w:rPr>
          <w:rFonts w:ascii="Times New Roman" w:hAnsi="Times New Roman" w:cs="Times New Roman"/>
          <w:color w:val="000000"/>
          <w:sz w:val="24"/>
          <w:szCs w:val="24"/>
        </w:rPr>
        <w:t>GDP loss of $</w:t>
      </w:r>
      <w:r w:rsidR="003E42A7">
        <w:rPr>
          <w:rFonts w:ascii="Times New Roman" w:hAnsi="Times New Roman" w:cs="Times New Roman"/>
          <w:color w:val="000000"/>
          <w:sz w:val="24"/>
          <w:szCs w:val="24"/>
        </w:rPr>
        <w:t>27</w:t>
      </w:r>
      <w:r w:rsidR="00B62227">
        <w:rPr>
          <w:rFonts w:ascii="Times New Roman" w:hAnsi="Times New Roman" w:cs="Times New Roman"/>
          <w:color w:val="000000"/>
          <w:sz w:val="24"/>
          <w:szCs w:val="24"/>
        </w:rPr>
        <w:t xml:space="preserve">b is a lower bound </w:t>
      </w:r>
      <w:r w:rsidR="00F43F17">
        <w:rPr>
          <w:rFonts w:ascii="Times New Roman" w:hAnsi="Times New Roman" w:cs="Times New Roman"/>
          <w:color w:val="000000"/>
          <w:sz w:val="24"/>
          <w:szCs w:val="24"/>
        </w:rPr>
        <w:t xml:space="preserve">arising from this policy choice </w:t>
      </w:r>
      <w:r w:rsidR="00B62227">
        <w:rPr>
          <w:rFonts w:ascii="Times New Roman" w:hAnsi="Times New Roman" w:cs="Times New Roman"/>
          <w:color w:val="000000"/>
          <w:sz w:val="24"/>
          <w:szCs w:val="24"/>
        </w:rPr>
        <w:t>(</w:t>
      </w:r>
      <w:r w:rsidR="00F43F17">
        <w:rPr>
          <w:rFonts w:ascii="Times New Roman" w:hAnsi="Times New Roman" w:cs="Times New Roman"/>
          <w:color w:val="000000"/>
          <w:sz w:val="24"/>
          <w:szCs w:val="24"/>
        </w:rPr>
        <w:t xml:space="preserve">because it reflects </w:t>
      </w:r>
      <w:r w:rsidR="00B62227">
        <w:rPr>
          <w:rFonts w:ascii="Times New Roman" w:hAnsi="Times New Roman" w:cs="Times New Roman"/>
          <w:color w:val="000000"/>
          <w:sz w:val="24"/>
          <w:szCs w:val="24"/>
        </w:rPr>
        <w:t>The Treasury’s least severe scenario</w:t>
      </w:r>
      <w:r w:rsidR="007D396C">
        <w:rPr>
          <w:rFonts w:ascii="Times New Roman" w:hAnsi="Times New Roman" w:cs="Times New Roman"/>
          <w:color w:val="000000"/>
          <w:sz w:val="24"/>
          <w:szCs w:val="24"/>
        </w:rPr>
        <w:t xml:space="preserve"> S1</w:t>
      </w:r>
      <w:r w:rsidR="00B62227">
        <w:rPr>
          <w:rFonts w:ascii="Times New Roman" w:hAnsi="Times New Roman" w:cs="Times New Roman"/>
          <w:color w:val="000000"/>
          <w:sz w:val="24"/>
          <w:szCs w:val="24"/>
        </w:rPr>
        <w:t xml:space="preserve">) and the </w:t>
      </w:r>
      <w:r w:rsidR="006E7111">
        <w:rPr>
          <w:rFonts w:ascii="Times New Roman" w:hAnsi="Times New Roman" w:cs="Times New Roman"/>
          <w:color w:val="000000"/>
          <w:sz w:val="24"/>
          <w:szCs w:val="24"/>
        </w:rPr>
        <w:t>120,4</w:t>
      </w:r>
      <w:r w:rsidR="00737922">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 xml:space="preserve">QALYs saved </w:t>
      </w:r>
      <w:r w:rsidR="00737922">
        <w:rPr>
          <w:rFonts w:ascii="Times New Roman" w:hAnsi="Times New Roman" w:cs="Times New Roman"/>
          <w:color w:val="000000"/>
          <w:sz w:val="24"/>
          <w:szCs w:val="24"/>
        </w:rPr>
        <w:t xml:space="preserve">is the upper bound </w:t>
      </w:r>
      <w:r w:rsidR="00F43F17">
        <w:rPr>
          <w:rFonts w:ascii="Times New Roman" w:hAnsi="Times New Roman" w:cs="Times New Roman"/>
          <w:color w:val="000000"/>
          <w:sz w:val="24"/>
          <w:szCs w:val="24"/>
        </w:rPr>
        <w:t xml:space="preserve">from this policy choice </w:t>
      </w:r>
      <w:r w:rsidR="00737922">
        <w:rPr>
          <w:rFonts w:ascii="Times New Roman" w:hAnsi="Times New Roman" w:cs="Times New Roman"/>
          <w:color w:val="000000"/>
          <w:sz w:val="24"/>
          <w:szCs w:val="24"/>
        </w:rPr>
        <w:t>(</w:t>
      </w:r>
      <w:r w:rsidR="006E7111">
        <w:rPr>
          <w:rFonts w:ascii="Times New Roman" w:hAnsi="Times New Roman" w:cs="Times New Roman"/>
          <w:color w:val="000000"/>
          <w:sz w:val="24"/>
          <w:szCs w:val="24"/>
        </w:rPr>
        <w:t xml:space="preserve">from </w:t>
      </w:r>
      <w:r w:rsidR="00B62227">
        <w:rPr>
          <w:rFonts w:ascii="Times New Roman" w:hAnsi="Times New Roman" w:cs="Times New Roman"/>
          <w:color w:val="000000"/>
          <w:sz w:val="24"/>
          <w:szCs w:val="24"/>
        </w:rPr>
        <w:t xml:space="preserve">Blakely et </w:t>
      </w:r>
      <w:proofErr w:type="spellStart"/>
      <w:r w:rsidR="00B62227">
        <w:rPr>
          <w:rFonts w:ascii="Times New Roman" w:hAnsi="Times New Roman" w:cs="Times New Roman"/>
          <w:color w:val="000000"/>
          <w:sz w:val="24"/>
          <w:szCs w:val="24"/>
        </w:rPr>
        <w:t>al</w:t>
      </w:r>
      <w:r w:rsidR="00433F4A">
        <w:rPr>
          <w:rFonts w:ascii="Times New Roman" w:hAnsi="Times New Roman" w:cs="Times New Roman"/>
          <w:color w:val="000000"/>
          <w:sz w:val="24"/>
          <w:szCs w:val="24"/>
        </w:rPr>
        <w:t>’s</w:t>
      </w:r>
      <w:proofErr w:type="spellEnd"/>
      <w:r w:rsidR="00433F4A">
        <w:rPr>
          <w:rFonts w:ascii="Times New Roman" w:hAnsi="Times New Roman" w:cs="Times New Roman"/>
          <w:color w:val="000000"/>
          <w:sz w:val="24"/>
          <w:szCs w:val="24"/>
        </w:rPr>
        <w:t xml:space="preserve"> upper bound</w:t>
      </w:r>
      <w:r w:rsidR="007379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59421B" w:rsidRDefault="0059421B" w:rsidP="0059421B">
      <w:pPr>
        <w:spacing w:after="0" w:line="360" w:lineRule="auto"/>
        <w:jc w:val="both"/>
        <w:rPr>
          <w:rFonts w:ascii="Times New Roman" w:hAnsi="Times New Roman" w:cs="Times New Roman"/>
          <w:color w:val="000000"/>
          <w:sz w:val="24"/>
          <w:szCs w:val="24"/>
        </w:rPr>
      </w:pPr>
    </w:p>
    <w:p w:rsidR="0059421B" w:rsidRDefault="0059421B" w:rsidP="0059421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Conover (2020) notes that it is conventional practice in the US to further discount QALY figures by about 3% per year to recognise that an additional life year saved immediately is more valuable than one saved later.  This would depress the denominator in equation (1), and therefore raise the cost per QALY saved.  </w:t>
      </w:r>
      <w:r w:rsidR="00D77D8B">
        <w:rPr>
          <w:rFonts w:ascii="Times New Roman" w:hAnsi="Times New Roman" w:cs="Times New Roman"/>
          <w:color w:val="000000"/>
          <w:sz w:val="24"/>
          <w:szCs w:val="24"/>
        </w:rPr>
        <w:t xml:space="preserve">Furthermore, </w:t>
      </w:r>
      <w:proofErr w:type="spellStart"/>
      <w:r w:rsidR="001A0C5B">
        <w:rPr>
          <w:rFonts w:ascii="Times New Roman" w:hAnsi="Times New Roman" w:cs="Times New Roman"/>
          <w:sz w:val="24"/>
          <w:szCs w:val="24"/>
          <w:lang w:val="en-US"/>
        </w:rPr>
        <w:t>Pharmac</w:t>
      </w:r>
      <w:proofErr w:type="spellEnd"/>
      <w:r w:rsidR="001A0C5B">
        <w:rPr>
          <w:rFonts w:ascii="Times New Roman" w:hAnsi="Times New Roman" w:cs="Times New Roman"/>
          <w:sz w:val="24"/>
          <w:szCs w:val="24"/>
          <w:lang w:val="en-US"/>
        </w:rPr>
        <w:t xml:space="preserve"> (2015, pp. 51-52) recommends that all costs and benefits in health expenditure assessments be discounted by 3.5% per year, based on the five-year average real government bond rate.  The longest term inflation-indexed bonds for which data is available for the last five years are those maturing </w:t>
      </w:r>
      <w:r w:rsidR="001A0C5B">
        <w:rPr>
          <w:rFonts w:ascii="Times New Roman" w:hAnsi="Times New Roman" w:cs="Times New Roman"/>
          <w:sz w:val="24"/>
          <w:szCs w:val="24"/>
          <w:lang w:val="en-US"/>
        </w:rPr>
        <w:lastRenderedPageBreak/>
        <w:t>in September 2035, and the average rate over the last five years has been 1.58%.</w:t>
      </w:r>
      <w:r w:rsidR="001A0C5B">
        <w:rPr>
          <w:rStyle w:val="FootnoteReference"/>
          <w:rFonts w:ascii="Times New Roman" w:hAnsi="Times New Roman" w:cs="Times New Roman"/>
          <w:sz w:val="24"/>
          <w:szCs w:val="24"/>
          <w:lang w:val="en-US"/>
        </w:rPr>
        <w:footnoteReference w:id="6"/>
      </w:r>
      <w:r w:rsidR="001A0C5B">
        <w:rPr>
          <w:rFonts w:ascii="Times New Roman" w:hAnsi="Times New Roman" w:cs="Times New Roman"/>
          <w:sz w:val="24"/>
          <w:szCs w:val="24"/>
          <w:lang w:val="en-US"/>
        </w:rPr>
        <w:t xml:space="preserve">  </w:t>
      </w:r>
      <w:r>
        <w:rPr>
          <w:rFonts w:ascii="Times New Roman" w:hAnsi="Times New Roman" w:cs="Times New Roman"/>
          <w:color w:val="000000"/>
          <w:sz w:val="24"/>
          <w:szCs w:val="24"/>
        </w:rPr>
        <w:t xml:space="preserve">Since the GDP losses are also spread out over time, the same discounting adjustment should be made there, but the GDP losses are on average much closer to the present moment, and therefore the effect of such discounting for the future adjustments in both the denominator and numerator of equation (1) would </w:t>
      </w:r>
      <w:r w:rsidR="006D1694">
        <w:rPr>
          <w:rFonts w:ascii="Times New Roman" w:hAnsi="Times New Roman" w:cs="Times New Roman"/>
          <w:color w:val="000000"/>
          <w:sz w:val="24"/>
          <w:szCs w:val="24"/>
        </w:rPr>
        <w:t xml:space="preserve">slightly </w:t>
      </w:r>
      <w:r>
        <w:rPr>
          <w:rFonts w:ascii="Times New Roman" w:hAnsi="Times New Roman" w:cs="Times New Roman"/>
          <w:color w:val="000000"/>
          <w:sz w:val="24"/>
          <w:szCs w:val="24"/>
        </w:rPr>
        <w:t>raise the cost per QALY saved</w:t>
      </w:r>
      <w:r w:rsidR="006F7319">
        <w:rPr>
          <w:rFonts w:ascii="Times New Roman" w:hAnsi="Times New Roman" w:cs="Times New Roman"/>
          <w:color w:val="000000"/>
          <w:sz w:val="24"/>
          <w:szCs w:val="24"/>
        </w:rPr>
        <w:t xml:space="preserve"> (by about 2%)</w:t>
      </w:r>
      <w:r w:rsidR="001A0C5B">
        <w:rPr>
          <w:rFonts w:ascii="Times New Roman" w:hAnsi="Times New Roman" w:cs="Times New Roman"/>
          <w:color w:val="000000"/>
          <w:sz w:val="24"/>
          <w:szCs w:val="24"/>
        </w:rPr>
        <w:t>.</w:t>
      </w:r>
    </w:p>
    <w:p w:rsidR="00CA10B6" w:rsidRDefault="00CA10B6" w:rsidP="00FE1D39">
      <w:pPr>
        <w:spacing w:after="0" w:line="360" w:lineRule="auto"/>
        <w:jc w:val="both"/>
        <w:rPr>
          <w:rFonts w:ascii="Times New Roman" w:hAnsi="Times New Roman" w:cs="Times New Roman"/>
          <w:color w:val="000000"/>
          <w:sz w:val="24"/>
          <w:szCs w:val="24"/>
        </w:rPr>
      </w:pPr>
    </w:p>
    <w:p w:rsidR="004609FF" w:rsidRDefault="00CA10B6" w:rsidP="00C27F87">
      <w:pPr>
        <w:pStyle w:val="FootnoteText"/>
        <w:spacing w:line="360" w:lineRule="auto"/>
        <w:jc w:val="both"/>
        <w:rPr>
          <w:rFonts w:ascii="Times New Roman" w:hAnsi="Times New Roman" w:cs="Times New Roman"/>
          <w:color w:val="000000"/>
          <w:sz w:val="24"/>
          <w:szCs w:val="24"/>
        </w:rPr>
      </w:pPr>
      <w:r w:rsidRPr="00C27F87">
        <w:rPr>
          <w:rFonts w:ascii="Times New Roman" w:hAnsi="Times New Roman" w:cs="Times New Roman"/>
          <w:color w:val="000000"/>
          <w:sz w:val="24"/>
          <w:szCs w:val="24"/>
        </w:rPr>
        <w:t xml:space="preserve">Turning now to the value of a QALY saved, </w:t>
      </w:r>
      <w:r w:rsidR="00466034" w:rsidRPr="00C27F87">
        <w:rPr>
          <w:rFonts w:ascii="Times New Roman" w:hAnsi="Times New Roman" w:cs="Times New Roman"/>
          <w:color w:val="000000"/>
          <w:sz w:val="24"/>
          <w:szCs w:val="24"/>
        </w:rPr>
        <w:t xml:space="preserve">Blakely et al (2020) used a QALY value of $45,000, </w:t>
      </w:r>
      <w:r w:rsidR="00C57BA3">
        <w:rPr>
          <w:rFonts w:ascii="Times New Roman" w:hAnsi="Times New Roman" w:cs="Times New Roman"/>
          <w:color w:val="000000"/>
          <w:sz w:val="24"/>
          <w:szCs w:val="24"/>
        </w:rPr>
        <w:t xml:space="preserve">consistent with </w:t>
      </w:r>
      <w:r w:rsidR="0004444E">
        <w:rPr>
          <w:rFonts w:ascii="Times New Roman" w:hAnsi="Times New Roman" w:cs="Times New Roman"/>
          <w:color w:val="000000"/>
          <w:sz w:val="24"/>
          <w:szCs w:val="24"/>
        </w:rPr>
        <w:t xml:space="preserve">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BODE</m:t>
            </m:r>
          </m:e>
          <m:sup>
            <m:r>
              <w:rPr>
                <w:rFonts w:ascii="Cambria Math" w:hAnsi="Cambria Math" w:cs="Times New Roman"/>
                <w:color w:val="000000"/>
                <w:sz w:val="24"/>
                <w:szCs w:val="24"/>
              </w:rPr>
              <m:t>3</m:t>
            </m:r>
          </m:sup>
        </m:sSup>
      </m:oMath>
      <w:r w:rsidR="004941FC" w:rsidRPr="00C27F87">
        <w:rPr>
          <w:rFonts w:ascii="Times New Roman" w:hAnsi="Times New Roman" w:cs="Times New Roman"/>
          <w:color w:val="000000"/>
          <w:sz w:val="24"/>
          <w:szCs w:val="24"/>
        </w:rPr>
        <w:softHyphen/>
        <w:t xml:space="preserve"> project</w:t>
      </w:r>
      <w:r w:rsidR="00CB0CEC">
        <w:rPr>
          <w:rFonts w:ascii="Times New Roman" w:hAnsi="Times New Roman" w:cs="Times New Roman"/>
          <w:color w:val="000000"/>
          <w:sz w:val="24"/>
          <w:szCs w:val="24"/>
        </w:rPr>
        <w:t xml:space="preserve"> (which estimates the cost effectiveness of various health interventions</w:t>
      </w:r>
      <w:r w:rsidR="00262515">
        <w:rPr>
          <w:rFonts w:ascii="Times New Roman" w:hAnsi="Times New Roman" w:cs="Times New Roman"/>
          <w:color w:val="000000"/>
          <w:sz w:val="24"/>
          <w:szCs w:val="24"/>
        </w:rPr>
        <w:t xml:space="preserve"> in New Zealand</w:t>
      </w:r>
      <w:r w:rsidR="00CB0CEC">
        <w:rPr>
          <w:rFonts w:ascii="Times New Roman" w:hAnsi="Times New Roman" w:cs="Times New Roman"/>
          <w:color w:val="000000"/>
          <w:sz w:val="24"/>
          <w:szCs w:val="24"/>
        </w:rPr>
        <w:t>)</w:t>
      </w:r>
      <w:r w:rsidR="004941FC" w:rsidRPr="00C27F87">
        <w:rPr>
          <w:rFonts w:ascii="Times New Roman" w:hAnsi="Times New Roman" w:cs="Times New Roman"/>
          <w:color w:val="000000"/>
          <w:sz w:val="24"/>
          <w:szCs w:val="24"/>
        </w:rPr>
        <w:t xml:space="preserve">.  </w:t>
      </w:r>
      <w:proofErr w:type="spellStart"/>
      <w:r w:rsidR="00F53D22" w:rsidRPr="00C27F87">
        <w:rPr>
          <w:rFonts w:ascii="Times New Roman" w:hAnsi="Times New Roman" w:cs="Times New Roman"/>
          <w:color w:val="000000"/>
          <w:sz w:val="24"/>
          <w:szCs w:val="24"/>
        </w:rPr>
        <w:t>K</w:t>
      </w:r>
      <w:r w:rsidR="00A44F21" w:rsidRPr="00C27F87">
        <w:rPr>
          <w:rFonts w:ascii="Times New Roman" w:hAnsi="Times New Roman" w:cs="Times New Roman"/>
          <w:color w:val="000000"/>
          <w:sz w:val="24"/>
          <w:szCs w:val="24"/>
        </w:rPr>
        <w:t>vizhinadze</w:t>
      </w:r>
      <w:proofErr w:type="spellEnd"/>
      <w:r w:rsidR="00A44F21" w:rsidRPr="00C27F87">
        <w:rPr>
          <w:rFonts w:ascii="Times New Roman" w:hAnsi="Times New Roman" w:cs="Times New Roman"/>
          <w:color w:val="000000"/>
          <w:sz w:val="24"/>
          <w:szCs w:val="24"/>
        </w:rPr>
        <w:t xml:space="preserve"> et al</w:t>
      </w:r>
      <w:r w:rsidR="00466034" w:rsidRPr="00C27F87">
        <w:rPr>
          <w:rFonts w:ascii="Times New Roman" w:hAnsi="Times New Roman" w:cs="Times New Roman"/>
          <w:color w:val="000000"/>
          <w:sz w:val="24"/>
          <w:szCs w:val="24"/>
        </w:rPr>
        <w:t xml:space="preserve"> (</w:t>
      </w:r>
      <w:r w:rsidR="00A44F21" w:rsidRPr="00C27F87">
        <w:rPr>
          <w:rFonts w:ascii="Times New Roman" w:hAnsi="Times New Roman" w:cs="Times New Roman"/>
          <w:color w:val="000000"/>
          <w:sz w:val="24"/>
          <w:szCs w:val="24"/>
        </w:rPr>
        <w:t>2015, page 3)</w:t>
      </w:r>
      <w:r w:rsidR="004941FC" w:rsidRPr="00C27F87">
        <w:rPr>
          <w:rFonts w:ascii="Times New Roman" w:hAnsi="Times New Roman" w:cs="Times New Roman"/>
          <w:color w:val="000000"/>
          <w:sz w:val="24"/>
          <w:szCs w:val="24"/>
        </w:rPr>
        <w:t xml:space="preserve"> use</w:t>
      </w:r>
      <w:r w:rsidR="0004444E">
        <w:rPr>
          <w:rFonts w:ascii="Times New Roman" w:hAnsi="Times New Roman" w:cs="Times New Roman"/>
          <w:color w:val="000000"/>
          <w:sz w:val="24"/>
          <w:szCs w:val="24"/>
        </w:rPr>
        <w:t>d</w:t>
      </w:r>
      <w:r w:rsidR="004941FC" w:rsidRPr="00C27F87">
        <w:rPr>
          <w:rFonts w:ascii="Times New Roman" w:hAnsi="Times New Roman" w:cs="Times New Roman"/>
          <w:color w:val="000000"/>
          <w:sz w:val="24"/>
          <w:szCs w:val="24"/>
        </w:rPr>
        <w:t xml:space="preserve"> the same figure for New Zealand</w:t>
      </w:r>
      <w:r w:rsidR="00466034" w:rsidRPr="00C27F87">
        <w:rPr>
          <w:rFonts w:ascii="Times New Roman" w:hAnsi="Times New Roman" w:cs="Times New Roman"/>
          <w:color w:val="000000"/>
          <w:sz w:val="24"/>
          <w:szCs w:val="24"/>
        </w:rPr>
        <w:t xml:space="preserve">, </w:t>
      </w:r>
      <w:r w:rsidR="004941FC" w:rsidRPr="00C27F87">
        <w:rPr>
          <w:rFonts w:ascii="Times New Roman" w:hAnsi="Times New Roman" w:cs="Times New Roman"/>
          <w:color w:val="000000"/>
          <w:sz w:val="24"/>
          <w:szCs w:val="24"/>
        </w:rPr>
        <w:t xml:space="preserve">based upon </w:t>
      </w:r>
      <w:r w:rsidR="00A44F21" w:rsidRPr="00C27F87">
        <w:rPr>
          <w:rFonts w:ascii="Times New Roman" w:hAnsi="Times New Roman" w:cs="Times New Roman"/>
          <w:color w:val="000000"/>
          <w:sz w:val="24"/>
          <w:szCs w:val="24"/>
        </w:rPr>
        <w:t xml:space="preserve">a WHO recommendation of per capita GDP.  </w:t>
      </w:r>
      <w:r w:rsidR="00466034" w:rsidRPr="00C27F87">
        <w:rPr>
          <w:rFonts w:ascii="Times New Roman" w:hAnsi="Times New Roman" w:cs="Times New Roman"/>
          <w:color w:val="000000"/>
          <w:sz w:val="24"/>
          <w:szCs w:val="24"/>
        </w:rPr>
        <w:t xml:space="preserve">However, with </w:t>
      </w:r>
      <w:r w:rsidR="00A44F21" w:rsidRPr="00C27F87">
        <w:rPr>
          <w:rFonts w:ascii="Times New Roman" w:hAnsi="Times New Roman" w:cs="Times New Roman"/>
          <w:color w:val="000000"/>
          <w:sz w:val="24"/>
          <w:szCs w:val="24"/>
        </w:rPr>
        <w:t xml:space="preserve">a current population of 5.0m and 2019 GDP of $310b, </w:t>
      </w:r>
      <w:r w:rsidR="00466034" w:rsidRPr="00C27F87">
        <w:rPr>
          <w:rFonts w:ascii="Times New Roman" w:hAnsi="Times New Roman" w:cs="Times New Roman"/>
          <w:color w:val="000000"/>
          <w:sz w:val="24"/>
          <w:szCs w:val="24"/>
        </w:rPr>
        <w:t xml:space="preserve">New Zealand’s </w:t>
      </w:r>
      <w:r w:rsidR="00A44F21" w:rsidRPr="00C27F87">
        <w:rPr>
          <w:rFonts w:ascii="Times New Roman" w:hAnsi="Times New Roman" w:cs="Times New Roman"/>
          <w:color w:val="000000"/>
          <w:sz w:val="24"/>
          <w:szCs w:val="24"/>
        </w:rPr>
        <w:t>current per capita GDP is $62,000</w:t>
      </w:r>
      <w:r w:rsidR="006074DD" w:rsidRPr="00C27F87">
        <w:rPr>
          <w:rFonts w:ascii="Times New Roman" w:hAnsi="Times New Roman" w:cs="Times New Roman"/>
          <w:color w:val="000000"/>
          <w:sz w:val="24"/>
          <w:szCs w:val="24"/>
        </w:rPr>
        <w:t xml:space="preserve">.  </w:t>
      </w:r>
      <w:proofErr w:type="spellStart"/>
      <w:r w:rsidR="00CA6B4E">
        <w:rPr>
          <w:rFonts w:ascii="Times New Roman" w:hAnsi="Times New Roman" w:cs="Times New Roman"/>
          <w:color w:val="000000"/>
          <w:sz w:val="24"/>
          <w:szCs w:val="24"/>
        </w:rPr>
        <w:t>Pharmac</w:t>
      </w:r>
      <w:proofErr w:type="spellEnd"/>
      <w:r w:rsidR="00CA6B4E">
        <w:rPr>
          <w:rFonts w:ascii="Times New Roman" w:hAnsi="Times New Roman" w:cs="Times New Roman"/>
          <w:color w:val="000000"/>
          <w:sz w:val="24"/>
          <w:szCs w:val="24"/>
        </w:rPr>
        <w:t xml:space="preserve"> (2015</w:t>
      </w:r>
      <w:r w:rsidR="00027879">
        <w:rPr>
          <w:rFonts w:ascii="Times New Roman" w:hAnsi="Times New Roman" w:cs="Times New Roman"/>
          <w:color w:val="000000"/>
          <w:sz w:val="24"/>
          <w:szCs w:val="24"/>
        </w:rPr>
        <w:t>, page 12</w:t>
      </w:r>
      <w:r w:rsidR="00CA6B4E">
        <w:rPr>
          <w:rFonts w:ascii="Times New Roman" w:hAnsi="Times New Roman" w:cs="Times New Roman"/>
          <w:color w:val="000000"/>
          <w:sz w:val="24"/>
          <w:szCs w:val="24"/>
        </w:rPr>
        <w:t xml:space="preserve">) does not prescribe a value, because </w:t>
      </w:r>
      <w:r w:rsidR="00846DA0">
        <w:rPr>
          <w:rFonts w:ascii="Times New Roman" w:hAnsi="Times New Roman" w:cs="Times New Roman"/>
          <w:color w:val="000000"/>
          <w:sz w:val="24"/>
          <w:szCs w:val="24"/>
        </w:rPr>
        <w:t xml:space="preserve">other factors influence its decisions and any value would </w:t>
      </w:r>
      <w:r w:rsidR="00CA6B4E">
        <w:rPr>
          <w:rFonts w:ascii="Times New Roman" w:hAnsi="Times New Roman" w:cs="Times New Roman"/>
          <w:color w:val="000000"/>
          <w:sz w:val="24"/>
          <w:szCs w:val="24"/>
        </w:rPr>
        <w:t xml:space="preserve">depend upon its budget.  </w:t>
      </w:r>
      <w:r w:rsidR="0010408A">
        <w:rPr>
          <w:rFonts w:ascii="Times New Roman" w:hAnsi="Times New Roman" w:cs="Times New Roman"/>
          <w:color w:val="000000"/>
          <w:sz w:val="24"/>
          <w:szCs w:val="24"/>
        </w:rPr>
        <w:t xml:space="preserve">However, </w:t>
      </w:r>
      <w:proofErr w:type="spellStart"/>
      <w:r w:rsidR="0010408A">
        <w:rPr>
          <w:rFonts w:ascii="Times New Roman" w:hAnsi="Times New Roman" w:cs="Times New Roman"/>
          <w:color w:val="000000"/>
          <w:sz w:val="24"/>
          <w:szCs w:val="24"/>
        </w:rPr>
        <w:t>Pharmac’s</w:t>
      </w:r>
      <w:proofErr w:type="spellEnd"/>
      <w:r w:rsidR="0010408A">
        <w:rPr>
          <w:rFonts w:ascii="Times New Roman" w:hAnsi="Times New Roman" w:cs="Times New Roman"/>
          <w:color w:val="000000"/>
          <w:sz w:val="24"/>
          <w:szCs w:val="24"/>
        </w:rPr>
        <w:t xml:space="preserve"> highest average cost per QALY saved </w:t>
      </w:r>
      <w:r w:rsidR="00556C45">
        <w:rPr>
          <w:rFonts w:ascii="Times New Roman" w:hAnsi="Times New Roman" w:cs="Times New Roman"/>
          <w:color w:val="000000"/>
          <w:sz w:val="24"/>
          <w:szCs w:val="24"/>
        </w:rPr>
        <w:t xml:space="preserve">in recent years </w:t>
      </w:r>
      <w:r w:rsidR="00A823C9">
        <w:rPr>
          <w:rFonts w:ascii="Times New Roman" w:hAnsi="Times New Roman" w:cs="Times New Roman"/>
          <w:color w:val="000000"/>
          <w:sz w:val="24"/>
          <w:szCs w:val="24"/>
        </w:rPr>
        <w:t xml:space="preserve">is </w:t>
      </w:r>
      <w:r w:rsidR="0010408A">
        <w:rPr>
          <w:rFonts w:ascii="Times New Roman" w:hAnsi="Times New Roman" w:cs="Times New Roman"/>
          <w:color w:val="000000"/>
          <w:sz w:val="24"/>
          <w:szCs w:val="24"/>
        </w:rPr>
        <w:t>$27,027 in 2016/17, which implies $33,306 in 2020.</w:t>
      </w:r>
      <w:r w:rsidR="00556C45">
        <w:rPr>
          <w:rStyle w:val="FootnoteReference"/>
          <w:rFonts w:ascii="Times New Roman" w:hAnsi="Times New Roman" w:cs="Times New Roman"/>
          <w:color w:val="000000"/>
          <w:sz w:val="24"/>
          <w:szCs w:val="24"/>
        </w:rPr>
        <w:footnoteReference w:id="7"/>
      </w:r>
      <w:r w:rsidR="0010408A">
        <w:rPr>
          <w:rFonts w:ascii="Times New Roman" w:hAnsi="Times New Roman" w:cs="Times New Roman"/>
          <w:color w:val="000000"/>
          <w:sz w:val="24"/>
          <w:szCs w:val="24"/>
        </w:rPr>
        <w:t xml:space="preserve">  </w:t>
      </w:r>
      <w:r w:rsidR="003968DC">
        <w:rPr>
          <w:rFonts w:ascii="Times New Roman" w:hAnsi="Times New Roman" w:cs="Times New Roman"/>
          <w:color w:val="000000"/>
          <w:sz w:val="24"/>
          <w:szCs w:val="24"/>
        </w:rPr>
        <w:t xml:space="preserve">In evaluating the merits of extending the Level 4 lockdown for five extra days, </w:t>
      </w:r>
      <w:proofErr w:type="spellStart"/>
      <w:r w:rsidR="003968DC">
        <w:rPr>
          <w:rFonts w:ascii="Times New Roman" w:hAnsi="Times New Roman" w:cs="Times New Roman"/>
          <w:color w:val="000000"/>
          <w:sz w:val="24"/>
          <w:szCs w:val="24"/>
        </w:rPr>
        <w:t>Heatley</w:t>
      </w:r>
      <w:proofErr w:type="spellEnd"/>
      <w:r w:rsidR="003968DC">
        <w:rPr>
          <w:rFonts w:ascii="Times New Roman" w:hAnsi="Times New Roman" w:cs="Times New Roman"/>
          <w:color w:val="000000"/>
          <w:sz w:val="24"/>
          <w:szCs w:val="24"/>
        </w:rPr>
        <w:t xml:space="preserve"> (2020, page 9) used the figure just referred to.  </w:t>
      </w:r>
      <w:r w:rsidRPr="00C27F87">
        <w:rPr>
          <w:rFonts w:ascii="Times New Roman" w:hAnsi="Times New Roman" w:cs="Times New Roman"/>
          <w:color w:val="000000"/>
          <w:sz w:val="24"/>
          <w:szCs w:val="24"/>
        </w:rPr>
        <w:t xml:space="preserve">In the interests of being conservative, </w:t>
      </w:r>
      <w:r w:rsidR="006074DD" w:rsidRPr="00C27F87">
        <w:rPr>
          <w:rFonts w:ascii="Times New Roman" w:hAnsi="Times New Roman" w:cs="Times New Roman"/>
          <w:color w:val="000000"/>
          <w:sz w:val="24"/>
          <w:szCs w:val="24"/>
        </w:rPr>
        <w:t xml:space="preserve">I </w:t>
      </w:r>
      <w:r w:rsidR="00A44F21" w:rsidRPr="00C27F87">
        <w:rPr>
          <w:rFonts w:ascii="Times New Roman" w:hAnsi="Times New Roman" w:cs="Times New Roman"/>
          <w:color w:val="000000"/>
          <w:sz w:val="24"/>
          <w:szCs w:val="24"/>
        </w:rPr>
        <w:t xml:space="preserve">use </w:t>
      </w:r>
      <w:r w:rsidR="006074DD" w:rsidRPr="00C27F87">
        <w:rPr>
          <w:rFonts w:ascii="Times New Roman" w:hAnsi="Times New Roman" w:cs="Times New Roman"/>
          <w:color w:val="000000"/>
          <w:sz w:val="24"/>
          <w:szCs w:val="24"/>
        </w:rPr>
        <w:t xml:space="preserve">the highest </w:t>
      </w:r>
      <w:r w:rsidR="00A44F21" w:rsidRPr="00C27F87">
        <w:rPr>
          <w:rFonts w:ascii="Times New Roman" w:hAnsi="Times New Roman" w:cs="Times New Roman"/>
          <w:color w:val="000000"/>
          <w:sz w:val="24"/>
          <w:szCs w:val="24"/>
        </w:rPr>
        <w:t>number</w:t>
      </w:r>
      <w:r w:rsidR="006074DD" w:rsidRPr="00C27F87">
        <w:rPr>
          <w:rFonts w:ascii="Times New Roman" w:hAnsi="Times New Roman" w:cs="Times New Roman"/>
          <w:color w:val="000000"/>
          <w:sz w:val="24"/>
          <w:szCs w:val="24"/>
        </w:rPr>
        <w:t xml:space="preserve"> </w:t>
      </w:r>
      <w:r w:rsidR="00CB0CEC">
        <w:rPr>
          <w:rFonts w:ascii="Times New Roman" w:hAnsi="Times New Roman" w:cs="Times New Roman"/>
          <w:color w:val="000000"/>
          <w:sz w:val="24"/>
          <w:szCs w:val="24"/>
        </w:rPr>
        <w:t xml:space="preserve">here </w:t>
      </w:r>
      <w:r w:rsidR="006074DD" w:rsidRPr="00C27F87">
        <w:rPr>
          <w:rFonts w:ascii="Times New Roman" w:hAnsi="Times New Roman" w:cs="Times New Roman"/>
          <w:color w:val="000000"/>
          <w:sz w:val="24"/>
          <w:szCs w:val="24"/>
        </w:rPr>
        <w:t>of $62,000</w:t>
      </w:r>
      <w:r w:rsidR="00A44F21" w:rsidRPr="00C27F87">
        <w:rPr>
          <w:rFonts w:ascii="Times New Roman" w:hAnsi="Times New Roman" w:cs="Times New Roman"/>
          <w:color w:val="000000"/>
          <w:sz w:val="24"/>
          <w:szCs w:val="24"/>
        </w:rPr>
        <w:t>.</w:t>
      </w:r>
      <w:r w:rsidR="00F53D22" w:rsidRPr="00C27F87">
        <w:rPr>
          <w:rStyle w:val="FootnoteReference"/>
          <w:rFonts w:ascii="Times New Roman" w:hAnsi="Times New Roman" w:cs="Times New Roman"/>
          <w:color w:val="000000"/>
          <w:sz w:val="24"/>
          <w:szCs w:val="24"/>
        </w:rPr>
        <w:footnoteReference w:id="8"/>
      </w:r>
      <w:r w:rsidR="00F53D22" w:rsidRPr="00C27F87">
        <w:rPr>
          <w:rFonts w:ascii="Times New Roman" w:hAnsi="Times New Roman" w:cs="Times New Roman"/>
          <w:color w:val="000000"/>
          <w:sz w:val="24"/>
          <w:szCs w:val="24"/>
        </w:rPr>
        <w:t xml:space="preserve">  </w:t>
      </w:r>
    </w:p>
    <w:p w:rsidR="004609FF" w:rsidRDefault="004609FF" w:rsidP="00C27F87">
      <w:pPr>
        <w:pStyle w:val="FootnoteText"/>
        <w:spacing w:line="360" w:lineRule="auto"/>
        <w:jc w:val="both"/>
        <w:rPr>
          <w:rFonts w:ascii="Times New Roman" w:hAnsi="Times New Roman" w:cs="Times New Roman"/>
          <w:color w:val="000000"/>
          <w:sz w:val="24"/>
          <w:szCs w:val="24"/>
        </w:rPr>
      </w:pPr>
    </w:p>
    <w:p w:rsidR="00EF11D4" w:rsidRDefault="00C27F87" w:rsidP="00C27F87">
      <w:pPr>
        <w:pStyle w:val="FootnoteText"/>
        <w:spacing w:line="360" w:lineRule="auto"/>
        <w:jc w:val="both"/>
        <w:rPr>
          <w:rFonts w:ascii="Times New Roman" w:hAnsi="Times New Roman" w:cs="Times New Roman"/>
          <w:sz w:val="24"/>
          <w:szCs w:val="24"/>
          <w:lang w:val="en-US"/>
        </w:rPr>
      </w:pPr>
      <w:r w:rsidRPr="00C27F87">
        <w:rPr>
          <w:rFonts w:ascii="Times New Roman" w:hAnsi="Times New Roman" w:cs="Times New Roman"/>
          <w:color w:val="000000"/>
          <w:sz w:val="24"/>
          <w:szCs w:val="24"/>
        </w:rPr>
        <w:t xml:space="preserve">A </w:t>
      </w:r>
      <w:r w:rsidRPr="00C27F87">
        <w:rPr>
          <w:rFonts w:ascii="Times New Roman" w:hAnsi="Times New Roman" w:cs="Times New Roman"/>
          <w:sz w:val="24"/>
          <w:szCs w:val="24"/>
          <w:lang w:val="en-US"/>
        </w:rPr>
        <w:t>related concept is the “Value of a Statistical Life” (V</w:t>
      </w:r>
      <w:r>
        <w:rPr>
          <w:rFonts w:ascii="Times New Roman" w:hAnsi="Times New Roman" w:cs="Times New Roman"/>
          <w:sz w:val="24"/>
          <w:szCs w:val="24"/>
          <w:lang w:val="en-US"/>
        </w:rPr>
        <w:t>O</w:t>
      </w:r>
      <w:r w:rsidRPr="00C27F87">
        <w:rPr>
          <w:rFonts w:ascii="Times New Roman" w:hAnsi="Times New Roman" w:cs="Times New Roman"/>
          <w:sz w:val="24"/>
          <w:szCs w:val="24"/>
          <w:lang w:val="en-US"/>
        </w:rPr>
        <w:t>SL), which values all lost years of an average aged person’s life</w:t>
      </w:r>
      <w:r>
        <w:rPr>
          <w:rFonts w:ascii="Times New Roman" w:hAnsi="Times New Roman" w:cs="Times New Roman"/>
          <w:sz w:val="24"/>
          <w:szCs w:val="24"/>
          <w:lang w:val="en-US"/>
        </w:rPr>
        <w:t xml:space="preserve">.  This is generally employed in decisions on road safety and the current value </w:t>
      </w:r>
      <w:r w:rsidR="00AF6384">
        <w:rPr>
          <w:rFonts w:ascii="Times New Roman" w:hAnsi="Times New Roman" w:cs="Times New Roman"/>
          <w:sz w:val="24"/>
          <w:szCs w:val="24"/>
          <w:lang w:val="en-US"/>
        </w:rPr>
        <w:t>is $4.37m (Ministry of Transport, 2019</w:t>
      </w:r>
      <w:r w:rsidR="00230AD6">
        <w:rPr>
          <w:rFonts w:ascii="Times New Roman" w:hAnsi="Times New Roman" w:cs="Times New Roman"/>
          <w:sz w:val="24"/>
          <w:szCs w:val="24"/>
          <w:lang w:val="en-US"/>
        </w:rPr>
        <w:t>, page iii</w:t>
      </w:r>
      <w:r w:rsidR="00AF6384">
        <w:rPr>
          <w:rFonts w:ascii="Times New Roman" w:hAnsi="Times New Roman" w:cs="Times New Roman"/>
          <w:sz w:val="24"/>
          <w:szCs w:val="24"/>
          <w:lang w:val="en-US"/>
        </w:rPr>
        <w:t>).</w:t>
      </w:r>
      <w:r>
        <w:rPr>
          <w:rFonts w:ascii="Times New Roman" w:hAnsi="Times New Roman" w:cs="Times New Roman"/>
          <w:sz w:val="24"/>
          <w:szCs w:val="24"/>
          <w:lang w:val="en-US"/>
        </w:rPr>
        <w:t xml:space="preserve">  To convert to </w:t>
      </w:r>
      <w:r w:rsidR="00262515">
        <w:rPr>
          <w:rFonts w:ascii="Times New Roman" w:hAnsi="Times New Roman" w:cs="Times New Roman"/>
          <w:sz w:val="24"/>
          <w:szCs w:val="24"/>
          <w:lang w:val="en-US"/>
        </w:rPr>
        <w:t xml:space="preserve">a value per year (called the Value of a Statistical Life Year or VOSLY), which can be compared to </w:t>
      </w:r>
      <w:r>
        <w:rPr>
          <w:rFonts w:ascii="Times New Roman" w:hAnsi="Times New Roman" w:cs="Times New Roman"/>
          <w:sz w:val="24"/>
          <w:szCs w:val="24"/>
          <w:lang w:val="en-US"/>
        </w:rPr>
        <w:t xml:space="preserve">the value of a QALY, it would be necessary to </w:t>
      </w:r>
      <w:r w:rsidR="004609FF">
        <w:rPr>
          <w:rFonts w:ascii="Times New Roman" w:hAnsi="Times New Roman" w:cs="Times New Roman"/>
          <w:sz w:val="24"/>
          <w:szCs w:val="24"/>
          <w:lang w:val="en-US"/>
        </w:rPr>
        <w:t xml:space="preserve">first determine the </w:t>
      </w:r>
      <w:r>
        <w:rPr>
          <w:rFonts w:ascii="Times New Roman" w:hAnsi="Times New Roman" w:cs="Times New Roman"/>
          <w:sz w:val="24"/>
          <w:szCs w:val="24"/>
          <w:lang w:val="en-US"/>
        </w:rPr>
        <w:t xml:space="preserve">average residual life span of a </w:t>
      </w:r>
      <w:r w:rsidR="00E84BB1">
        <w:rPr>
          <w:rFonts w:ascii="Times New Roman" w:hAnsi="Times New Roman" w:cs="Times New Roman"/>
          <w:sz w:val="24"/>
          <w:szCs w:val="24"/>
          <w:lang w:val="en-US"/>
        </w:rPr>
        <w:t>road accident victim</w:t>
      </w:r>
      <w:r w:rsidR="00DF64A3">
        <w:rPr>
          <w:rFonts w:ascii="Times New Roman" w:hAnsi="Times New Roman" w:cs="Times New Roman"/>
          <w:sz w:val="24"/>
          <w:szCs w:val="24"/>
          <w:lang w:val="en-US"/>
        </w:rPr>
        <w:t>.  The median age of a victim is 41</w:t>
      </w:r>
      <w:r w:rsidR="00B12B73">
        <w:rPr>
          <w:rFonts w:ascii="Times New Roman" w:hAnsi="Times New Roman" w:cs="Times New Roman"/>
          <w:sz w:val="24"/>
          <w:szCs w:val="24"/>
          <w:lang w:val="en-US"/>
        </w:rPr>
        <w:t>, and 2/3 are male</w:t>
      </w:r>
      <w:r w:rsidR="00DF64A3">
        <w:rPr>
          <w:rFonts w:ascii="Times New Roman" w:hAnsi="Times New Roman" w:cs="Times New Roman"/>
          <w:sz w:val="24"/>
          <w:szCs w:val="24"/>
          <w:lang w:val="en-US"/>
        </w:rPr>
        <w:t>.</w:t>
      </w:r>
      <w:r w:rsidR="00DF64A3">
        <w:rPr>
          <w:rStyle w:val="FootnoteReference"/>
          <w:rFonts w:ascii="Times New Roman" w:hAnsi="Times New Roman" w:cs="Times New Roman"/>
          <w:sz w:val="24"/>
          <w:szCs w:val="24"/>
          <w:lang w:val="en-US"/>
        </w:rPr>
        <w:footnoteReference w:id="9"/>
      </w:r>
      <w:r w:rsidR="00DF64A3">
        <w:rPr>
          <w:rFonts w:ascii="Times New Roman" w:hAnsi="Times New Roman" w:cs="Times New Roman"/>
          <w:sz w:val="24"/>
          <w:szCs w:val="24"/>
          <w:lang w:val="en-US"/>
        </w:rPr>
        <w:t xml:space="preserve">  The </w:t>
      </w:r>
      <w:r w:rsidR="00B12B73">
        <w:rPr>
          <w:rFonts w:ascii="Times New Roman" w:hAnsi="Times New Roman" w:cs="Times New Roman"/>
          <w:sz w:val="24"/>
          <w:szCs w:val="24"/>
          <w:lang w:val="en-US"/>
        </w:rPr>
        <w:t xml:space="preserve">median </w:t>
      </w:r>
      <w:r w:rsidR="00DF64A3">
        <w:rPr>
          <w:rFonts w:ascii="Times New Roman" w:hAnsi="Times New Roman" w:cs="Times New Roman"/>
          <w:sz w:val="24"/>
          <w:szCs w:val="24"/>
          <w:lang w:val="en-US"/>
        </w:rPr>
        <w:t xml:space="preserve">residual life span of a 41 year old is </w:t>
      </w:r>
      <w:r w:rsidR="00B12B73">
        <w:rPr>
          <w:rFonts w:ascii="Times New Roman" w:hAnsi="Times New Roman" w:cs="Times New Roman"/>
          <w:sz w:val="24"/>
          <w:szCs w:val="24"/>
          <w:lang w:val="en-US"/>
        </w:rPr>
        <w:t>43 years for a female and 40 for a male.</w:t>
      </w:r>
      <w:r w:rsidR="00B12B73">
        <w:rPr>
          <w:rStyle w:val="FootnoteReference"/>
          <w:rFonts w:ascii="Times New Roman" w:hAnsi="Times New Roman" w:cs="Times New Roman"/>
          <w:sz w:val="24"/>
          <w:szCs w:val="24"/>
          <w:lang w:val="en-US"/>
        </w:rPr>
        <w:footnoteReference w:id="10"/>
      </w:r>
      <w:r w:rsidR="00B12B73">
        <w:rPr>
          <w:rFonts w:ascii="Times New Roman" w:hAnsi="Times New Roman" w:cs="Times New Roman"/>
          <w:sz w:val="24"/>
          <w:szCs w:val="24"/>
          <w:lang w:val="en-US"/>
        </w:rPr>
        <w:t xml:space="preserve">  This implies </w:t>
      </w:r>
      <w:r w:rsidR="003B0D3C">
        <w:rPr>
          <w:rFonts w:ascii="Times New Roman" w:hAnsi="Times New Roman" w:cs="Times New Roman"/>
          <w:sz w:val="24"/>
          <w:szCs w:val="24"/>
          <w:lang w:val="en-US"/>
        </w:rPr>
        <w:lastRenderedPageBreak/>
        <w:t xml:space="preserve">an average </w:t>
      </w:r>
      <w:r w:rsidR="00B12B73">
        <w:rPr>
          <w:rFonts w:ascii="Times New Roman" w:hAnsi="Times New Roman" w:cs="Times New Roman"/>
          <w:sz w:val="24"/>
          <w:szCs w:val="24"/>
          <w:lang w:val="en-US"/>
        </w:rPr>
        <w:t>residual life span for a median aged road victim</w:t>
      </w:r>
      <w:r w:rsidR="00947E14">
        <w:rPr>
          <w:rFonts w:ascii="Times New Roman" w:hAnsi="Times New Roman" w:cs="Times New Roman"/>
          <w:sz w:val="24"/>
          <w:szCs w:val="24"/>
          <w:lang w:val="en-US"/>
        </w:rPr>
        <w:t xml:space="preserve"> (of age 41)</w:t>
      </w:r>
      <w:r w:rsidR="00B12B73">
        <w:rPr>
          <w:rFonts w:ascii="Times New Roman" w:hAnsi="Times New Roman" w:cs="Times New Roman"/>
          <w:sz w:val="24"/>
          <w:szCs w:val="24"/>
          <w:lang w:val="en-US"/>
        </w:rPr>
        <w:t xml:space="preserve"> of 41 years</w:t>
      </w:r>
      <w:r w:rsidR="004609FF">
        <w:rPr>
          <w:rFonts w:ascii="Times New Roman" w:hAnsi="Times New Roman" w:cs="Times New Roman"/>
          <w:sz w:val="24"/>
          <w:szCs w:val="24"/>
          <w:lang w:val="en-US"/>
        </w:rPr>
        <w:t xml:space="preserve">.  </w:t>
      </w:r>
      <w:r w:rsidR="00D51BAB">
        <w:rPr>
          <w:rFonts w:ascii="Times New Roman" w:hAnsi="Times New Roman" w:cs="Times New Roman"/>
          <w:sz w:val="24"/>
          <w:szCs w:val="24"/>
          <w:lang w:val="en-US"/>
        </w:rPr>
        <w:t xml:space="preserve">Applying </w:t>
      </w:r>
      <w:proofErr w:type="spellStart"/>
      <w:r w:rsidR="00D51BAB">
        <w:rPr>
          <w:rFonts w:ascii="Times New Roman" w:hAnsi="Times New Roman" w:cs="Times New Roman"/>
          <w:sz w:val="24"/>
          <w:szCs w:val="24"/>
          <w:lang w:val="en-US"/>
        </w:rPr>
        <w:t>Pharmac’s</w:t>
      </w:r>
      <w:proofErr w:type="spellEnd"/>
      <w:r w:rsidR="00D51BAB">
        <w:rPr>
          <w:rFonts w:ascii="Times New Roman" w:hAnsi="Times New Roman" w:cs="Times New Roman"/>
          <w:sz w:val="24"/>
          <w:szCs w:val="24"/>
          <w:lang w:val="en-US"/>
        </w:rPr>
        <w:t xml:space="preserve"> recommended discount rate of 1.58% (see penultimate paragraph), </w:t>
      </w:r>
      <w:r w:rsidR="004609FF">
        <w:rPr>
          <w:rFonts w:ascii="Times New Roman" w:hAnsi="Times New Roman" w:cs="Times New Roman"/>
          <w:sz w:val="24"/>
          <w:szCs w:val="24"/>
          <w:lang w:val="en-US"/>
        </w:rPr>
        <w:t xml:space="preserve">the value per QALY would be </w:t>
      </w:r>
      <w:r w:rsidR="004609FF" w:rsidRPr="00DA3135">
        <w:rPr>
          <w:rFonts w:ascii="Times New Roman" w:hAnsi="Times New Roman" w:cs="Times New Roman"/>
          <w:i/>
          <w:sz w:val="24"/>
          <w:szCs w:val="24"/>
          <w:lang w:val="en-US"/>
        </w:rPr>
        <w:t>V</w:t>
      </w:r>
      <w:r w:rsidR="00DA3135">
        <w:rPr>
          <w:rFonts w:ascii="Times New Roman" w:hAnsi="Times New Roman" w:cs="Times New Roman"/>
          <w:sz w:val="24"/>
          <w:szCs w:val="24"/>
          <w:lang w:val="en-US"/>
        </w:rPr>
        <w:t xml:space="preserve"> such that</w:t>
      </w:r>
    </w:p>
    <w:p w:rsidR="00956359" w:rsidRDefault="00956359" w:rsidP="00C27F87">
      <w:pPr>
        <w:pStyle w:val="FootnoteText"/>
        <w:spacing w:line="360" w:lineRule="auto"/>
        <w:jc w:val="both"/>
        <w:rPr>
          <w:rFonts w:ascii="Times New Roman" w:hAnsi="Times New Roman" w:cs="Times New Roman"/>
          <w:sz w:val="24"/>
          <w:szCs w:val="24"/>
          <w:lang w:val="en-US"/>
        </w:rPr>
      </w:pPr>
    </w:p>
    <w:p w:rsidR="004609FF" w:rsidRDefault="004609FF" w:rsidP="00C27F87">
      <w:pPr>
        <w:pStyle w:val="FootnoteText"/>
        <w:spacing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$4.37m=</m:t>
          </m:r>
          <m:f>
            <m:fPr>
              <m:ctrlPr>
                <w:rPr>
                  <w:rFonts w:ascii="Cambria Math" w:hAnsi="Cambria Math" w:cs="Times New Roman"/>
                  <w:i/>
                  <w:sz w:val="24"/>
                  <w:szCs w:val="24"/>
                  <w:lang w:val="en-US"/>
                </w:rPr>
              </m:ctrlPr>
            </m:fPr>
            <m:num>
              <m:r>
                <w:rPr>
                  <w:rFonts w:ascii="Cambria Math" w:hAnsi="Cambria Math" w:cs="Times New Roman"/>
                  <w:sz w:val="24"/>
                  <w:szCs w:val="24"/>
                  <w:lang w:val="en-US"/>
                </w:rPr>
                <m:t>V</m:t>
              </m:r>
            </m:num>
            <m:den>
              <m:r>
                <w:rPr>
                  <w:rFonts w:ascii="Cambria Math" w:hAnsi="Cambria Math" w:cs="Times New Roman"/>
                  <w:sz w:val="24"/>
                  <w:szCs w:val="24"/>
                  <w:lang w:val="en-US"/>
                </w:rPr>
                <m:t>1.0158</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V</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(1.0158)</m:t>
                  </m:r>
                </m:e>
                <m:sup>
                  <m:r>
                    <w:rPr>
                      <w:rFonts w:ascii="Cambria Math" w:hAnsi="Cambria Math" w:cs="Times New Roman"/>
                      <w:sz w:val="24"/>
                      <w:szCs w:val="24"/>
                      <w:lang w:val="en-US"/>
                    </w:rPr>
                    <m:t>41</m:t>
                  </m:r>
                </m:sup>
              </m:sSup>
            </m:den>
          </m:f>
        </m:oMath>
      </m:oMathPara>
    </w:p>
    <w:p w:rsidR="004609FF" w:rsidRDefault="004609FF" w:rsidP="00C27F87">
      <w:pPr>
        <w:pStyle w:val="FootnoteText"/>
        <w:spacing w:line="360" w:lineRule="auto"/>
        <w:jc w:val="both"/>
        <w:rPr>
          <w:rFonts w:ascii="Times New Roman" w:hAnsi="Times New Roman" w:cs="Times New Roman"/>
          <w:sz w:val="24"/>
          <w:szCs w:val="24"/>
          <w:lang w:val="en-US"/>
        </w:rPr>
      </w:pPr>
    </w:p>
    <w:p w:rsidR="00C27F87" w:rsidRDefault="00BB4E1E" w:rsidP="00C27F87">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solution is </w:t>
      </w:r>
      <w:r w:rsidRPr="00DA3135">
        <w:rPr>
          <w:rFonts w:ascii="Times New Roman" w:hAnsi="Times New Roman" w:cs="Times New Roman"/>
          <w:i/>
          <w:sz w:val="24"/>
          <w:szCs w:val="24"/>
          <w:lang w:val="en-US"/>
        </w:rPr>
        <w:t>V</w:t>
      </w:r>
      <w:r>
        <w:rPr>
          <w:rFonts w:ascii="Times New Roman" w:hAnsi="Times New Roman" w:cs="Times New Roman"/>
          <w:sz w:val="24"/>
          <w:szCs w:val="24"/>
          <w:lang w:val="en-US"/>
        </w:rPr>
        <w:t xml:space="preserve"> = </w:t>
      </w:r>
      <w:r w:rsidR="005A113A">
        <w:rPr>
          <w:rFonts w:ascii="Times New Roman" w:hAnsi="Times New Roman" w:cs="Times New Roman"/>
          <w:sz w:val="24"/>
          <w:szCs w:val="24"/>
          <w:lang w:val="en-US"/>
        </w:rPr>
        <w:t>$1</w:t>
      </w:r>
      <w:r w:rsidR="00DA3135">
        <w:rPr>
          <w:rFonts w:ascii="Times New Roman" w:hAnsi="Times New Roman" w:cs="Times New Roman"/>
          <w:sz w:val="24"/>
          <w:szCs w:val="24"/>
          <w:lang w:val="en-US"/>
        </w:rPr>
        <w:t>46</w:t>
      </w:r>
      <w:r w:rsidR="0059421B">
        <w:rPr>
          <w:rFonts w:ascii="Times New Roman" w:hAnsi="Times New Roman" w:cs="Times New Roman"/>
          <w:sz w:val="24"/>
          <w:szCs w:val="24"/>
          <w:lang w:val="en-US"/>
        </w:rPr>
        <w:t xml:space="preserve">,000.  </w:t>
      </w:r>
      <w:r w:rsidR="005525CF">
        <w:rPr>
          <w:rFonts w:ascii="Times New Roman" w:hAnsi="Times New Roman" w:cs="Times New Roman"/>
          <w:sz w:val="24"/>
          <w:szCs w:val="24"/>
          <w:lang w:val="en-US"/>
        </w:rPr>
        <w:t xml:space="preserve">This $4.37m </w:t>
      </w:r>
      <w:r w:rsidR="00230AD6">
        <w:rPr>
          <w:rFonts w:ascii="Times New Roman" w:hAnsi="Times New Roman" w:cs="Times New Roman"/>
          <w:sz w:val="24"/>
          <w:szCs w:val="24"/>
          <w:lang w:val="en-US"/>
        </w:rPr>
        <w:t xml:space="preserve">estimate of the </w:t>
      </w:r>
      <w:r w:rsidR="0059421B">
        <w:rPr>
          <w:rFonts w:ascii="Times New Roman" w:hAnsi="Times New Roman" w:cs="Times New Roman"/>
          <w:sz w:val="24"/>
          <w:szCs w:val="24"/>
          <w:lang w:val="en-US"/>
        </w:rPr>
        <w:t>VOSL</w:t>
      </w:r>
      <w:r w:rsidR="00C27F87" w:rsidRPr="00C27F87">
        <w:rPr>
          <w:rFonts w:ascii="Times New Roman" w:hAnsi="Times New Roman" w:cs="Times New Roman"/>
          <w:sz w:val="24"/>
          <w:szCs w:val="24"/>
          <w:lang w:val="en-US"/>
        </w:rPr>
        <w:t xml:space="preserve"> </w:t>
      </w:r>
      <w:r w:rsidR="00230AD6">
        <w:rPr>
          <w:rFonts w:ascii="Times New Roman" w:hAnsi="Times New Roman" w:cs="Times New Roman"/>
          <w:sz w:val="24"/>
          <w:szCs w:val="24"/>
          <w:lang w:val="en-US"/>
        </w:rPr>
        <w:t xml:space="preserve">was derived from a 1991 survey (Ministry of Transport, 2019, page 14), as is usually the case for such estimates, </w:t>
      </w:r>
      <w:r w:rsidR="0059421B">
        <w:rPr>
          <w:rFonts w:ascii="Times New Roman" w:hAnsi="Times New Roman" w:cs="Times New Roman"/>
          <w:sz w:val="24"/>
          <w:szCs w:val="24"/>
          <w:lang w:val="en-US"/>
        </w:rPr>
        <w:t xml:space="preserve">whilst </w:t>
      </w:r>
      <w:r w:rsidR="00C27F87" w:rsidRPr="00C27F87">
        <w:rPr>
          <w:rFonts w:ascii="Times New Roman" w:hAnsi="Times New Roman" w:cs="Times New Roman"/>
          <w:sz w:val="24"/>
          <w:szCs w:val="24"/>
          <w:lang w:val="en-US"/>
        </w:rPr>
        <w:t xml:space="preserve">the value of a QALY </w:t>
      </w:r>
      <w:r w:rsidR="00687803">
        <w:rPr>
          <w:rFonts w:ascii="Times New Roman" w:hAnsi="Times New Roman" w:cs="Times New Roman"/>
          <w:sz w:val="24"/>
          <w:szCs w:val="24"/>
          <w:lang w:val="en-US"/>
        </w:rPr>
        <w:t xml:space="preserve">comes from public health experts or </w:t>
      </w:r>
      <w:r w:rsidR="0059421B">
        <w:rPr>
          <w:rFonts w:ascii="Times New Roman" w:hAnsi="Times New Roman" w:cs="Times New Roman"/>
          <w:sz w:val="24"/>
          <w:szCs w:val="24"/>
          <w:lang w:val="en-US"/>
        </w:rPr>
        <w:t xml:space="preserve">deduced from the </w:t>
      </w:r>
      <w:r w:rsidR="00C27F87" w:rsidRPr="00C27F87">
        <w:rPr>
          <w:rFonts w:ascii="Times New Roman" w:hAnsi="Times New Roman" w:cs="Times New Roman"/>
          <w:sz w:val="24"/>
          <w:szCs w:val="24"/>
          <w:lang w:val="en-US"/>
        </w:rPr>
        <w:t xml:space="preserve">health expenditure decisions by government; the latter </w:t>
      </w:r>
      <w:r w:rsidR="00B212EF">
        <w:rPr>
          <w:rFonts w:ascii="Times New Roman" w:hAnsi="Times New Roman" w:cs="Times New Roman"/>
          <w:sz w:val="24"/>
          <w:szCs w:val="24"/>
          <w:lang w:val="en-US"/>
        </w:rPr>
        <w:t xml:space="preserve">would then seem to be more </w:t>
      </w:r>
      <w:r w:rsidR="00C27F87" w:rsidRPr="00C27F87">
        <w:rPr>
          <w:rFonts w:ascii="Times New Roman" w:hAnsi="Times New Roman" w:cs="Times New Roman"/>
          <w:sz w:val="24"/>
          <w:szCs w:val="24"/>
          <w:lang w:val="en-US"/>
        </w:rPr>
        <w:t xml:space="preserve">relevant to the present situation involving a health </w:t>
      </w:r>
      <w:r w:rsidR="00AC7475">
        <w:rPr>
          <w:rFonts w:ascii="Times New Roman" w:hAnsi="Times New Roman" w:cs="Times New Roman"/>
          <w:sz w:val="24"/>
          <w:szCs w:val="24"/>
          <w:lang w:val="en-US"/>
        </w:rPr>
        <w:t xml:space="preserve">policy choice by government.  </w:t>
      </w:r>
      <w:r w:rsidR="00230AD6">
        <w:rPr>
          <w:rFonts w:ascii="Times New Roman" w:hAnsi="Times New Roman" w:cs="Times New Roman"/>
          <w:sz w:val="24"/>
          <w:szCs w:val="24"/>
          <w:lang w:val="en-US"/>
        </w:rPr>
        <w:t xml:space="preserve">Furthermore, </w:t>
      </w:r>
      <w:r w:rsidR="00B62D23">
        <w:rPr>
          <w:rFonts w:ascii="Times New Roman" w:hAnsi="Times New Roman" w:cs="Times New Roman"/>
          <w:sz w:val="24"/>
          <w:szCs w:val="24"/>
          <w:lang w:val="en-US"/>
        </w:rPr>
        <w:t xml:space="preserve">amongst the authors </w:t>
      </w:r>
      <w:r w:rsidR="00507B53">
        <w:rPr>
          <w:rFonts w:ascii="Times New Roman" w:hAnsi="Times New Roman" w:cs="Times New Roman"/>
          <w:sz w:val="24"/>
          <w:szCs w:val="24"/>
          <w:lang w:val="en-US"/>
        </w:rPr>
        <w:t xml:space="preserve">I am aware of </w:t>
      </w:r>
      <w:r w:rsidR="00B62D23">
        <w:rPr>
          <w:rFonts w:ascii="Times New Roman" w:hAnsi="Times New Roman" w:cs="Times New Roman"/>
          <w:sz w:val="24"/>
          <w:szCs w:val="24"/>
          <w:lang w:val="en-US"/>
        </w:rPr>
        <w:t xml:space="preserve">who consider both approaches (Miles et al, 2020; </w:t>
      </w:r>
      <w:proofErr w:type="spellStart"/>
      <w:r w:rsidR="00B62D23">
        <w:rPr>
          <w:rFonts w:ascii="Times New Roman" w:hAnsi="Times New Roman" w:cs="Times New Roman"/>
          <w:sz w:val="24"/>
          <w:szCs w:val="24"/>
          <w:lang w:val="en-US"/>
        </w:rPr>
        <w:t>Gros</w:t>
      </w:r>
      <w:proofErr w:type="spellEnd"/>
      <w:r w:rsidR="00B62D23">
        <w:rPr>
          <w:rFonts w:ascii="Times New Roman" w:hAnsi="Times New Roman" w:cs="Times New Roman"/>
          <w:sz w:val="24"/>
          <w:szCs w:val="24"/>
          <w:lang w:val="en-US"/>
        </w:rPr>
        <w:t xml:space="preserve">, 2020), </w:t>
      </w:r>
      <w:r w:rsidR="00507B53">
        <w:rPr>
          <w:rFonts w:ascii="Times New Roman" w:hAnsi="Times New Roman" w:cs="Times New Roman"/>
          <w:sz w:val="24"/>
          <w:szCs w:val="24"/>
          <w:lang w:val="en-US"/>
        </w:rPr>
        <w:t xml:space="preserve">both </w:t>
      </w:r>
      <w:proofErr w:type="spellStart"/>
      <w:r w:rsidR="00B62D23">
        <w:rPr>
          <w:rFonts w:ascii="Times New Roman" w:hAnsi="Times New Roman" w:cs="Times New Roman"/>
          <w:sz w:val="24"/>
          <w:szCs w:val="24"/>
          <w:lang w:val="en-US"/>
        </w:rPr>
        <w:t>favour</w:t>
      </w:r>
      <w:proofErr w:type="spellEnd"/>
      <w:r w:rsidR="00B62D23">
        <w:rPr>
          <w:rFonts w:ascii="Times New Roman" w:hAnsi="Times New Roman" w:cs="Times New Roman"/>
          <w:sz w:val="24"/>
          <w:szCs w:val="24"/>
          <w:lang w:val="en-US"/>
        </w:rPr>
        <w:t xml:space="preserve"> the </w:t>
      </w:r>
      <w:r w:rsidR="00230AD6">
        <w:rPr>
          <w:rFonts w:ascii="Times New Roman" w:hAnsi="Times New Roman" w:cs="Times New Roman"/>
          <w:sz w:val="24"/>
          <w:szCs w:val="24"/>
          <w:lang w:val="en-US"/>
        </w:rPr>
        <w:t>latter a</w:t>
      </w:r>
      <w:r w:rsidR="00B62D23">
        <w:rPr>
          <w:rFonts w:ascii="Times New Roman" w:hAnsi="Times New Roman" w:cs="Times New Roman"/>
          <w:sz w:val="24"/>
          <w:szCs w:val="24"/>
          <w:lang w:val="en-US"/>
        </w:rPr>
        <w:t>pproach over the VOSL approach</w:t>
      </w:r>
      <w:r w:rsidR="00932AB6">
        <w:rPr>
          <w:rFonts w:ascii="Times New Roman" w:hAnsi="Times New Roman" w:cs="Times New Roman"/>
          <w:sz w:val="24"/>
          <w:szCs w:val="24"/>
          <w:lang w:val="en-US"/>
        </w:rPr>
        <w:t xml:space="preserve">, with </w:t>
      </w:r>
      <w:proofErr w:type="spellStart"/>
      <w:r w:rsidR="00932AB6">
        <w:rPr>
          <w:rFonts w:ascii="Times New Roman" w:hAnsi="Times New Roman" w:cs="Times New Roman"/>
          <w:sz w:val="24"/>
          <w:szCs w:val="24"/>
          <w:lang w:val="en-US"/>
        </w:rPr>
        <w:t>Gros</w:t>
      </w:r>
      <w:proofErr w:type="spellEnd"/>
      <w:r w:rsidR="00932AB6">
        <w:rPr>
          <w:rFonts w:ascii="Times New Roman" w:hAnsi="Times New Roman" w:cs="Times New Roman"/>
          <w:sz w:val="24"/>
          <w:szCs w:val="24"/>
          <w:lang w:val="en-US"/>
        </w:rPr>
        <w:t xml:space="preserve"> (</w:t>
      </w:r>
      <w:r w:rsidR="00F60918">
        <w:rPr>
          <w:rFonts w:ascii="Times New Roman" w:hAnsi="Times New Roman" w:cs="Times New Roman"/>
          <w:sz w:val="24"/>
          <w:szCs w:val="24"/>
          <w:lang w:val="en-US"/>
        </w:rPr>
        <w:t>2020, page 6</w:t>
      </w:r>
      <w:r w:rsidR="00932AB6">
        <w:rPr>
          <w:rFonts w:ascii="Times New Roman" w:hAnsi="Times New Roman" w:cs="Times New Roman"/>
          <w:sz w:val="24"/>
          <w:szCs w:val="24"/>
          <w:lang w:val="en-US"/>
        </w:rPr>
        <w:t xml:space="preserve">) noting that it the approach </w:t>
      </w:r>
      <w:r w:rsidR="00F60918">
        <w:rPr>
          <w:rFonts w:ascii="Times New Roman" w:hAnsi="Times New Roman" w:cs="Times New Roman"/>
          <w:sz w:val="24"/>
          <w:szCs w:val="24"/>
          <w:lang w:val="en-US"/>
        </w:rPr>
        <w:t>that is “practiced routinely by the medical profession”</w:t>
      </w:r>
      <w:r w:rsidR="00507B53">
        <w:rPr>
          <w:rFonts w:ascii="Times New Roman" w:hAnsi="Times New Roman" w:cs="Times New Roman"/>
          <w:sz w:val="24"/>
          <w:szCs w:val="24"/>
          <w:lang w:val="en-US"/>
        </w:rPr>
        <w:t xml:space="preserve"> and Miles at </w:t>
      </w:r>
      <w:proofErr w:type="spellStart"/>
      <w:r w:rsidR="00507B53">
        <w:rPr>
          <w:rFonts w:ascii="Times New Roman" w:hAnsi="Times New Roman" w:cs="Times New Roman"/>
          <w:sz w:val="24"/>
          <w:szCs w:val="24"/>
          <w:lang w:val="en-US"/>
        </w:rPr>
        <w:t>al</w:t>
      </w:r>
      <w:proofErr w:type="spellEnd"/>
      <w:r w:rsidR="00507B53">
        <w:rPr>
          <w:rFonts w:ascii="Times New Roman" w:hAnsi="Times New Roman" w:cs="Times New Roman"/>
          <w:sz w:val="24"/>
          <w:szCs w:val="24"/>
          <w:lang w:val="en-US"/>
        </w:rPr>
        <w:t xml:space="preserve"> (2020</w:t>
      </w:r>
      <w:r w:rsidR="00AF6384">
        <w:rPr>
          <w:rFonts w:ascii="Times New Roman" w:hAnsi="Times New Roman" w:cs="Times New Roman"/>
          <w:sz w:val="24"/>
          <w:szCs w:val="24"/>
          <w:lang w:val="en-US"/>
        </w:rPr>
        <w:t>, page 76</w:t>
      </w:r>
      <w:r w:rsidR="00507B53">
        <w:rPr>
          <w:rFonts w:ascii="Times New Roman" w:hAnsi="Times New Roman" w:cs="Times New Roman"/>
          <w:sz w:val="24"/>
          <w:szCs w:val="24"/>
          <w:lang w:val="en-US"/>
        </w:rPr>
        <w:t>) that it is consistent</w:t>
      </w:r>
      <w:r w:rsidR="00AF6384">
        <w:rPr>
          <w:rFonts w:ascii="Times New Roman" w:hAnsi="Times New Roman" w:cs="Times New Roman"/>
          <w:sz w:val="24"/>
          <w:szCs w:val="24"/>
          <w:lang w:val="en-US"/>
        </w:rPr>
        <w:t xml:space="preserve"> with the approach to other health expenditures</w:t>
      </w:r>
      <w:r w:rsidR="00B62D23">
        <w:rPr>
          <w:rFonts w:ascii="Times New Roman" w:hAnsi="Times New Roman" w:cs="Times New Roman"/>
          <w:sz w:val="24"/>
          <w:szCs w:val="24"/>
          <w:lang w:val="en-US"/>
        </w:rPr>
        <w:t xml:space="preserve">.  </w:t>
      </w:r>
      <w:r w:rsidR="00AC7475">
        <w:rPr>
          <w:rFonts w:ascii="Times New Roman" w:hAnsi="Times New Roman" w:cs="Times New Roman"/>
          <w:sz w:val="24"/>
          <w:szCs w:val="24"/>
          <w:lang w:val="en-US"/>
        </w:rPr>
        <w:t xml:space="preserve">Thus I </w:t>
      </w:r>
      <w:proofErr w:type="spellStart"/>
      <w:r w:rsidR="00AC7475">
        <w:rPr>
          <w:rFonts w:ascii="Times New Roman" w:hAnsi="Times New Roman" w:cs="Times New Roman"/>
          <w:sz w:val="24"/>
          <w:szCs w:val="24"/>
          <w:lang w:val="en-US"/>
        </w:rPr>
        <w:t>favour</w:t>
      </w:r>
      <w:proofErr w:type="spellEnd"/>
      <w:r w:rsidR="00AC7475">
        <w:rPr>
          <w:rFonts w:ascii="Times New Roman" w:hAnsi="Times New Roman" w:cs="Times New Roman"/>
          <w:sz w:val="24"/>
          <w:szCs w:val="24"/>
          <w:lang w:val="en-US"/>
        </w:rPr>
        <w:t xml:space="preserve"> a QALY value of $62,000</w:t>
      </w:r>
      <w:r w:rsidR="00846DA0">
        <w:rPr>
          <w:rFonts w:ascii="Times New Roman" w:hAnsi="Times New Roman" w:cs="Times New Roman"/>
          <w:sz w:val="24"/>
          <w:szCs w:val="24"/>
          <w:lang w:val="en-US"/>
        </w:rPr>
        <w:t xml:space="preserve"> but also consider the effect of using the VOSL derived figure of $146,000</w:t>
      </w:r>
      <w:r w:rsidR="0021004F">
        <w:rPr>
          <w:rFonts w:ascii="Times New Roman" w:hAnsi="Times New Roman" w:cs="Times New Roman"/>
          <w:sz w:val="24"/>
          <w:szCs w:val="24"/>
          <w:lang w:val="en-US"/>
        </w:rPr>
        <w:t>.</w:t>
      </w:r>
    </w:p>
    <w:p w:rsidR="0021004F" w:rsidRPr="0021004F" w:rsidRDefault="0021004F" w:rsidP="0021004F">
      <w:pPr>
        <w:pStyle w:val="FootnoteText"/>
        <w:spacing w:line="360" w:lineRule="auto"/>
        <w:jc w:val="both"/>
        <w:rPr>
          <w:rFonts w:ascii="Times New Roman" w:hAnsi="Times New Roman" w:cs="Times New Roman"/>
          <w:sz w:val="24"/>
          <w:szCs w:val="24"/>
          <w:lang w:val="en-US"/>
        </w:rPr>
      </w:pPr>
    </w:p>
    <w:p w:rsidR="0021004F" w:rsidRPr="0021004F" w:rsidRDefault="0021004F" w:rsidP="0021004F">
      <w:pPr>
        <w:pStyle w:val="FootnoteText"/>
        <w:spacing w:line="360" w:lineRule="auto"/>
        <w:jc w:val="both"/>
        <w:rPr>
          <w:rFonts w:ascii="Times New Roman" w:hAnsi="Times New Roman" w:cs="Times New Roman"/>
          <w:sz w:val="24"/>
          <w:szCs w:val="24"/>
          <w:lang w:val="en-US"/>
        </w:rPr>
      </w:pPr>
      <w:r w:rsidRPr="0021004F">
        <w:rPr>
          <w:rFonts w:ascii="Times New Roman" w:hAnsi="Times New Roman" w:cs="Times New Roman"/>
          <w:sz w:val="24"/>
          <w:szCs w:val="24"/>
          <w:lang w:val="en-US"/>
        </w:rPr>
        <w:t xml:space="preserve">Interestingly, some analyses of the Covid-19 issue have been conducted by simply multiplying the VOSL by the expected saving in lives (for example, </w:t>
      </w:r>
      <w:r>
        <w:rPr>
          <w:rFonts w:ascii="Times New Roman" w:hAnsi="Times New Roman" w:cs="Times New Roman"/>
          <w:sz w:val="24"/>
          <w:szCs w:val="24"/>
          <w:lang w:val="en-US"/>
        </w:rPr>
        <w:t xml:space="preserve">Chapple, 2020; </w:t>
      </w:r>
      <w:proofErr w:type="spellStart"/>
      <w:r w:rsidRPr="0021004F">
        <w:rPr>
          <w:rFonts w:ascii="Times New Roman" w:hAnsi="Times New Roman" w:cs="Times New Roman"/>
          <w:sz w:val="24"/>
          <w:szCs w:val="24"/>
          <w:lang w:val="en-US"/>
        </w:rPr>
        <w:t>Thunstrom</w:t>
      </w:r>
      <w:proofErr w:type="spellEnd"/>
      <w:r w:rsidRPr="0021004F">
        <w:rPr>
          <w:rFonts w:ascii="Times New Roman" w:hAnsi="Times New Roman" w:cs="Times New Roman"/>
          <w:sz w:val="24"/>
          <w:szCs w:val="24"/>
          <w:lang w:val="en-US"/>
        </w:rPr>
        <w:t xml:space="preserve">, 2020; Holden and Preston, 2020).  This may reflect the mistaken view that Covid-19 victims have a typical average residual life span and perfect health sans Covid-19, which is not the case, and would therefore significantly overestimate the benefits in QALYs saved.  Alternatively, it may reflect the view that all lives saved are equally valuable, which implies that one would spend as much to extend the life of a person by one day as </w:t>
      </w:r>
      <w:r>
        <w:rPr>
          <w:rFonts w:ascii="Times New Roman" w:hAnsi="Times New Roman" w:cs="Times New Roman"/>
          <w:sz w:val="24"/>
          <w:szCs w:val="24"/>
          <w:lang w:val="en-US"/>
        </w:rPr>
        <w:t xml:space="preserve">one would spend to extend the life of </w:t>
      </w:r>
      <w:r w:rsidRPr="0021004F">
        <w:rPr>
          <w:rFonts w:ascii="Times New Roman" w:hAnsi="Times New Roman" w:cs="Times New Roman"/>
          <w:sz w:val="24"/>
          <w:szCs w:val="24"/>
          <w:lang w:val="en-US"/>
        </w:rPr>
        <w:t>a different person for ten years.  If the latter</w:t>
      </w:r>
      <w:r>
        <w:rPr>
          <w:rFonts w:ascii="Times New Roman" w:hAnsi="Times New Roman" w:cs="Times New Roman"/>
          <w:sz w:val="24"/>
          <w:szCs w:val="24"/>
          <w:lang w:val="en-US"/>
        </w:rPr>
        <w:t xml:space="preserve"> interpretation is correct</w:t>
      </w:r>
      <w:r w:rsidRPr="0021004F">
        <w:rPr>
          <w:rFonts w:ascii="Times New Roman" w:hAnsi="Times New Roman" w:cs="Times New Roman"/>
          <w:sz w:val="24"/>
          <w:szCs w:val="24"/>
          <w:lang w:val="en-US"/>
        </w:rPr>
        <w:t xml:space="preserve">, it is inconsistent with prevailing views in the health sector.  In particular, </w:t>
      </w:r>
      <w:proofErr w:type="spellStart"/>
      <w:r w:rsidRPr="0021004F">
        <w:rPr>
          <w:rFonts w:ascii="Times New Roman" w:hAnsi="Times New Roman" w:cs="Times New Roman"/>
          <w:sz w:val="24"/>
          <w:szCs w:val="24"/>
          <w:lang w:val="en-US"/>
        </w:rPr>
        <w:t>Pharmac</w:t>
      </w:r>
      <w:proofErr w:type="spellEnd"/>
      <w:r w:rsidRPr="0021004F">
        <w:rPr>
          <w:rFonts w:ascii="Times New Roman" w:hAnsi="Times New Roman" w:cs="Times New Roman"/>
          <w:sz w:val="24"/>
          <w:szCs w:val="24"/>
          <w:lang w:val="en-US"/>
        </w:rPr>
        <w:t xml:space="preserve"> (2015, page 36) recommends that residual life expectancies be estimated and further adjusted for the patient’s quality of life, and this is also the orthodox view amongst New Zealand public health experts (see </w:t>
      </w:r>
      <w:proofErr w:type="spellStart"/>
      <w:r w:rsidRPr="0021004F">
        <w:rPr>
          <w:rFonts w:ascii="Times New Roman" w:hAnsi="Times New Roman" w:cs="Times New Roman"/>
          <w:sz w:val="24"/>
          <w:szCs w:val="24"/>
          <w:lang w:val="en-US"/>
        </w:rPr>
        <w:t>Kvizhinadze</w:t>
      </w:r>
      <w:proofErr w:type="spellEnd"/>
      <w:r w:rsidRPr="0021004F">
        <w:rPr>
          <w:rFonts w:ascii="Times New Roman" w:hAnsi="Times New Roman" w:cs="Times New Roman"/>
          <w:sz w:val="24"/>
          <w:szCs w:val="24"/>
          <w:lang w:val="en-US"/>
        </w:rPr>
        <w:t xml:space="preserve"> et al, 2</w:t>
      </w:r>
      <w:r>
        <w:rPr>
          <w:rFonts w:ascii="Times New Roman" w:hAnsi="Times New Roman" w:cs="Times New Roman"/>
          <w:sz w:val="24"/>
          <w:szCs w:val="24"/>
          <w:lang w:val="en-US"/>
        </w:rPr>
        <w:t xml:space="preserve">015; Blakely et al, 2020).  </w:t>
      </w:r>
    </w:p>
    <w:p w:rsidR="0059421B" w:rsidRPr="0021004F" w:rsidRDefault="0059421B" w:rsidP="0021004F">
      <w:pPr>
        <w:pStyle w:val="FootnoteText"/>
        <w:spacing w:line="360" w:lineRule="auto"/>
        <w:jc w:val="both"/>
        <w:rPr>
          <w:rFonts w:ascii="Times New Roman" w:hAnsi="Times New Roman" w:cs="Times New Roman"/>
          <w:sz w:val="24"/>
          <w:szCs w:val="24"/>
          <w:lang w:val="en-US"/>
        </w:rPr>
      </w:pPr>
    </w:p>
    <w:p w:rsidR="002E5A84" w:rsidRDefault="0059421B" w:rsidP="0021004F">
      <w:pPr>
        <w:spacing w:after="0" w:line="360" w:lineRule="auto"/>
        <w:jc w:val="both"/>
        <w:rPr>
          <w:rFonts w:ascii="Times New Roman" w:hAnsi="Times New Roman" w:cs="Times New Roman"/>
          <w:color w:val="000000"/>
          <w:sz w:val="24"/>
          <w:szCs w:val="24"/>
        </w:rPr>
      </w:pPr>
      <w:r w:rsidRPr="0021004F">
        <w:rPr>
          <w:rFonts w:ascii="Times New Roman" w:hAnsi="Times New Roman" w:cs="Times New Roman"/>
          <w:color w:val="000000"/>
          <w:sz w:val="24"/>
          <w:szCs w:val="24"/>
        </w:rPr>
        <w:t>Since</w:t>
      </w:r>
      <w:r>
        <w:rPr>
          <w:rFonts w:ascii="Times New Roman" w:hAnsi="Times New Roman" w:cs="Times New Roman"/>
          <w:color w:val="000000"/>
          <w:sz w:val="24"/>
          <w:szCs w:val="24"/>
        </w:rPr>
        <w:t xml:space="preserve"> the lower bound on the cost per QALY saved from </w:t>
      </w:r>
      <w:r w:rsidR="009A066A">
        <w:rPr>
          <w:rFonts w:ascii="Times New Roman" w:hAnsi="Times New Roman" w:cs="Times New Roman"/>
          <w:color w:val="000000"/>
          <w:sz w:val="24"/>
          <w:szCs w:val="24"/>
        </w:rPr>
        <w:t>lockdown</w:t>
      </w:r>
      <w:r w:rsidR="001649D3">
        <w:rPr>
          <w:rFonts w:ascii="Times New Roman" w:hAnsi="Times New Roman" w:cs="Times New Roman"/>
          <w:color w:val="000000"/>
          <w:sz w:val="24"/>
          <w:szCs w:val="24"/>
        </w:rPr>
        <w:t xml:space="preserve"> rather than mitigation is $224</w:t>
      </w:r>
      <w:r>
        <w:rPr>
          <w:rFonts w:ascii="Times New Roman" w:hAnsi="Times New Roman" w:cs="Times New Roman"/>
          <w:color w:val="000000"/>
          <w:sz w:val="24"/>
          <w:szCs w:val="24"/>
        </w:rPr>
        <w:t xml:space="preserve">,000 as shown in equation (3), </w:t>
      </w:r>
      <w:r w:rsidR="006F7319">
        <w:rPr>
          <w:rFonts w:ascii="Times New Roman" w:hAnsi="Times New Roman" w:cs="Times New Roman"/>
          <w:color w:val="000000"/>
          <w:sz w:val="24"/>
          <w:szCs w:val="24"/>
        </w:rPr>
        <w:t xml:space="preserve">use of a </w:t>
      </w:r>
      <w:r>
        <w:rPr>
          <w:rFonts w:ascii="Times New Roman" w:hAnsi="Times New Roman" w:cs="Times New Roman"/>
          <w:color w:val="000000"/>
          <w:sz w:val="24"/>
          <w:szCs w:val="24"/>
        </w:rPr>
        <w:t>QALY value of $62,000</w:t>
      </w:r>
      <w:r w:rsidR="00AC7475">
        <w:rPr>
          <w:rFonts w:ascii="Times New Roman" w:hAnsi="Times New Roman" w:cs="Times New Roman"/>
          <w:color w:val="000000"/>
          <w:sz w:val="24"/>
          <w:szCs w:val="24"/>
        </w:rPr>
        <w:t xml:space="preserve"> implies that the </w:t>
      </w:r>
      <w:r w:rsidR="00F53D22" w:rsidRPr="00C27F87">
        <w:rPr>
          <w:rFonts w:ascii="Times New Roman" w:hAnsi="Times New Roman" w:cs="Times New Roman"/>
          <w:color w:val="000000"/>
          <w:sz w:val="24"/>
          <w:szCs w:val="24"/>
        </w:rPr>
        <w:t xml:space="preserve">cost of </w:t>
      </w:r>
      <w:r w:rsidR="00F53D22" w:rsidRPr="00C27F87">
        <w:rPr>
          <w:rFonts w:ascii="Times New Roman" w:hAnsi="Times New Roman" w:cs="Times New Roman"/>
          <w:color w:val="000000"/>
          <w:sz w:val="24"/>
          <w:szCs w:val="24"/>
        </w:rPr>
        <w:lastRenderedPageBreak/>
        <w:t xml:space="preserve">adopting a </w:t>
      </w:r>
      <w:r w:rsidR="009A066A">
        <w:rPr>
          <w:rFonts w:ascii="Times New Roman" w:hAnsi="Times New Roman" w:cs="Times New Roman"/>
          <w:color w:val="000000"/>
          <w:sz w:val="24"/>
          <w:szCs w:val="24"/>
        </w:rPr>
        <w:t xml:space="preserve">lockdown </w:t>
      </w:r>
      <w:r w:rsidR="00F43F17" w:rsidRPr="00C27F87">
        <w:rPr>
          <w:rFonts w:ascii="Times New Roman" w:hAnsi="Times New Roman" w:cs="Times New Roman"/>
          <w:color w:val="000000"/>
          <w:sz w:val="24"/>
          <w:szCs w:val="24"/>
        </w:rPr>
        <w:t xml:space="preserve">policy </w:t>
      </w:r>
      <w:r w:rsidR="00F53D22" w:rsidRPr="00C27F87">
        <w:rPr>
          <w:rFonts w:ascii="Times New Roman" w:hAnsi="Times New Roman" w:cs="Times New Roman"/>
          <w:color w:val="000000"/>
          <w:sz w:val="24"/>
          <w:szCs w:val="24"/>
        </w:rPr>
        <w:t xml:space="preserve">rather than a mitigation policy per additional QALY saved would be at least </w:t>
      </w:r>
      <w:r w:rsidR="00A24ECF" w:rsidRPr="00C27F87">
        <w:rPr>
          <w:rFonts w:ascii="Times New Roman" w:hAnsi="Times New Roman" w:cs="Times New Roman"/>
          <w:color w:val="000000"/>
          <w:sz w:val="24"/>
          <w:szCs w:val="24"/>
        </w:rPr>
        <w:t>3</w:t>
      </w:r>
      <w:r w:rsidR="0088791E" w:rsidRPr="00C27F87">
        <w:rPr>
          <w:rFonts w:ascii="Times New Roman" w:hAnsi="Times New Roman" w:cs="Times New Roman"/>
          <w:color w:val="000000"/>
          <w:sz w:val="24"/>
          <w:szCs w:val="24"/>
        </w:rPr>
        <w:t xml:space="preserve"> </w:t>
      </w:r>
      <w:r w:rsidR="00F53D22" w:rsidRPr="00C27F87">
        <w:rPr>
          <w:rFonts w:ascii="Times New Roman" w:hAnsi="Times New Roman" w:cs="Times New Roman"/>
          <w:color w:val="000000"/>
          <w:sz w:val="24"/>
          <w:szCs w:val="24"/>
        </w:rPr>
        <w:t xml:space="preserve">times the </w:t>
      </w:r>
      <w:r w:rsidR="009A066A">
        <w:rPr>
          <w:rFonts w:ascii="Times New Roman" w:hAnsi="Times New Roman" w:cs="Times New Roman"/>
          <w:color w:val="000000"/>
          <w:sz w:val="24"/>
          <w:szCs w:val="24"/>
        </w:rPr>
        <w:t>QALY value of $62,000</w:t>
      </w:r>
      <w:r w:rsidR="00AC7475">
        <w:rPr>
          <w:rFonts w:ascii="Times New Roman" w:hAnsi="Times New Roman" w:cs="Times New Roman"/>
          <w:color w:val="000000"/>
          <w:sz w:val="24"/>
          <w:szCs w:val="24"/>
        </w:rPr>
        <w:t xml:space="preserve">.  </w:t>
      </w:r>
      <w:r w:rsidR="00437D29">
        <w:rPr>
          <w:rFonts w:ascii="Times New Roman" w:hAnsi="Times New Roman" w:cs="Times New Roman"/>
          <w:color w:val="000000"/>
          <w:sz w:val="24"/>
          <w:szCs w:val="24"/>
        </w:rPr>
        <w:t xml:space="preserve">Had one </w:t>
      </w:r>
      <w:r w:rsidR="00D660DE">
        <w:rPr>
          <w:rFonts w:ascii="Times New Roman" w:hAnsi="Times New Roman" w:cs="Times New Roman"/>
          <w:color w:val="000000"/>
          <w:sz w:val="24"/>
          <w:szCs w:val="24"/>
        </w:rPr>
        <w:t xml:space="preserve">instead </w:t>
      </w:r>
      <w:r w:rsidR="00437D29">
        <w:rPr>
          <w:rFonts w:ascii="Times New Roman" w:hAnsi="Times New Roman" w:cs="Times New Roman"/>
          <w:color w:val="000000"/>
          <w:sz w:val="24"/>
          <w:szCs w:val="24"/>
        </w:rPr>
        <w:t xml:space="preserve">used Blakely et </w:t>
      </w:r>
      <w:proofErr w:type="spellStart"/>
      <w:r w:rsidR="00437D29">
        <w:rPr>
          <w:rFonts w:ascii="Times New Roman" w:hAnsi="Times New Roman" w:cs="Times New Roman"/>
          <w:color w:val="000000"/>
          <w:sz w:val="24"/>
          <w:szCs w:val="24"/>
        </w:rPr>
        <w:t>al</w:t>
      </w:r>
      <w:r w:rsidR="002A52C9">
        <w:rPr>
          <w:rFonts w:ascii="Times New Roman" w:hAnsi="Times New Roman" w:cs="Times New Roman"/>
          <w:color w:val="000000"/>
          <w:sz w:val="24"/>
          <w:szCs w:val="24"/>
        </w:rPr>
        <w:t>’s</w:t>
      </w:r>
      <w:proofErr w:type="spellEnd"/>
      <w:r w:rsidR="00437D29">
        <w:rPr>
          <w:rFonts w:ascii="Times New Roman" w:hAnsi="Times New Roman" w:cs="Times New Roman"/>
          <w:color w:val="000000"/>
          <w:sz w:val="24"/>
          <w:szCs w:val="24"/>
        </w:rPr>
        <w:t xml:space="preserve"> (2020)</w:t>
      </w:r>
      <w:r w:rsidR="002A52C9">
        <w:rPr>
          <w:rFonts w:ascii="Times New Roman" w:hAnsi="Times New Roman" w:cs="Times New Roman"/>
          <w:color w:val="000000"/>
          <w:sz w:val="24"/>
          <w:szCs w:val="24"/>
        </w:rPr>
        <w:t xml:space="preserve"> expected extra lives lost of 7,000, and therefore 7</w:t>
      </w:r>
      <w:r w:rsidR="00437D29">
        <w:rPr>
          <w:rFonts w:ascii="Times New Roman" w:hAnsi="Times New Roman" w:cs="Times New Roman"/>
          <w:color w:val="000000"/>
          <w:sz w:val="24"/>
          <w:szCs w:val="24"/>
        </w:rPr>
        <w:t>,000*5</w:t>
      </w:r>
      <w:r w:rsidR="002A52C9">
        <w:rPr>
          <w:rFonts w:ascii="Times New Roman" w:hAnsi="Times New Roman" w:cs="Times New Roman"/>
          <w:color w:val="000000"/>
          <w:sz w:val="24"/>
          <w:szCs w:val="24"/>
        </w:rPr>
        <w:t>*0.8 = 28</w:t>
      </w:r>
      <w:r w:rsidR="00437D29">
        <w:rPr>
          <w:rFonts w:ascii="Times New Roman" w:hAnsi="Times New Roman" w:cs="Times New Roman"/>
          <w:color w:val="000000"/>
          <w:sz w:val="24"/>
          <w:szCs w:val="24"/>
        </w:rPr>
        <w:t>,000 QALYs saved, the cost per QALY saved would have risen to $</w:t>
      </w:r>
      <w:r w:rsidR="00330DDB">
        <w:rPr>
          <w:rFonts w:ascii="Times New Roman" w:hAnsi="Times New Roman" w:cs="Times New Roman"/>
          <w:color w:val="000000"/>
          <w:sz w:val="24"/>
          <w:szCs w:val="24"/>
        </w:rPr>
        <w:t>96</w:t>
      </w:r>
      <w:r w:rsidR="00186168">
        <w:rPr>
          <w:rFonts w:ascii="Times New Roman" w:hAnsi="Times New Roman" w:cs="Times New Roman"/>
          <w:color w:val="000000"/>
          <w:sz w:val="24"/>
          <w:szCs w:val="24"/>
        </w:rPr>
        <w:t>0</w:t>
      </w:r>
      <w:r w:rsidR="00187417">
        <w:rPr>
          <w:rFonts w:ascii="Times New Roman" w:hAnsi="Times New Roman" w:cs="Times New Roman"/>
          <w:color w:val="000000"/>
          <w:sz w:val="24"/>
          <w:szCs w:val="24"/>
        </w:rPr>
        <w:t xml:space="preserve">,000, which is </w:t>
      </w:r>
      <w:r w:rsidR="00330DDB">
        <w:rPr>
          <w:rFonts w:ascii="Times New Roman" w:hAnsi="Times New Roman" w:cs="Times New Roman"/>
          <w:color w:val="000000"/>
          <w:sz w:val="24"/>
          <w:szCs w:val="24"/>
        </w:rPr>
        <w:t>15</w:t>
      </w:r>
      <w:r w:rsidR="00437D29">
        <w:rPr>
          <w:rFonts w:ascii="Times New Roman" w:hAnsi="Times New Roman" w:cs="Times New Roman"/>
          <w:color w:val="000000"/>
          <w:sz w:val="24"/>
          <w:szCs w:val="24"/>
        </w:rPr>
        <w:t xml:space="preserve"> times the </w:t>
      </w:r>
      <w:r w:rsidR="00245903">
        <w:rPr>
          <w:rFonts w:ascii="Times New Roman" w:hAnsi="Times New Roman" w:cs="Times New Roman"/>
          <w:color w:val="000000"/>
          <w:sz w:val="24"/>
          <w:szCs w:val="24"/>
        </w:rPr>
        <w:t>QALY value of $62,000</w:t>
      </w:r>
      <w:r w:rsidR="00437D29">
        <w:rPr>
          <w:rFonts w:ascii="Times New Roman" w:hAnsi="Times New Roman" w:cs="Times New Roman"/>
          <w:color w:val="000000"/>
          <w:sz w:val="24"/>
          <w:szCs w:val="24"/>
        </w:rPr>
        <w:t xml:space="preserve">.  </w:t>
      </w:r>
      <w:r w:rsidR="00FE1D39">
        <w:rPr>
          <w:rFonts w:ascii="Times New Roman" w:hAnsi="Times New Roman" w:cs="Times New Roman"/>
          <w:color w:val="000000"/>
          <w:sz w:val="24"/>
          <w:szCs w:val="24"/>
        </w:rPr>
        <w:t xml:space="preserve">Had one also used The Treasury’s S2 </w:t>
      </w:r>
      <w:r w:rsidR="00F43F17">
        <w:rPr>
          <w:rFonts w:ascii="Times New Roman" w:hAnsi="Times New Roman" w:cs="Times New Roman"/>
          <w:color w:val="000000"/>
          <w:sz w:val="24"/>
          <w:szCs w:val="24"/>
        </w:rPr>
        <w:t xml:space="preserve">scenario </w:t>
      </w:r>
      <w:r w:rsidR="00487CFE">
        <w:rPr>
          <w:rFonts w:ascii="Times New Roman" w:hAnsi="Times New Roman" w:cs="Times New Roman"/>
          <w:color w:val="000000"/>
          <w:sz w:val="24"/>
          <w:szCs w:val="24"/>
        </w:rPr>
        <w:t xml:space="preserve">rather than its S1 </w:t>
      </w:r>
      <w:r w:rsidR="00FE1D39">
        <w:rPr>
          <w:rFonts w:ascii="Times New Roman" w:hAnsi="Times New Roman" w:cs="Times New Roman"/>
          <w:color w:val="000000"/>
          <w:sz w:val="24"/>
          <w:szCs w:val="24"/>
        </w:rPr>
        <w:t>scenario</w:t>
      </w:r>
      <w:r w:rsidR="004569E5">
        <w:rPr>
          <w:rFonts w:ascii="Times New Roman" w:hAnsi="Times New Roman" w:cs="Times New Roman"/>
          <w:color w:val="000000"/>
          <w:sz w:val="24"/>
          <w:szCs w:val="24"/>
        </w:rPr>
        <w:t xml:space="preserve"> (see Table 1)</w:t>
      </w:r>
      <w:r w:rsidR="00FE1D39">
        <w:rPr>
          <w:rFonts w:ascii="Times New Roman" w:hAnsi="Times New Roman" w:cs="Times New Roman"/>
          <w:color w:val="000000"/>
          <w:sz w:val="24"/>
          <w:szCs w:val="24"/>
        </w:rPr>
        <w:t xml:space="preserve">, which </w:t>
      </w:r>
      <w:r w:rsidR="002624A3">
        <w:rPr>
          <w:rFonts w:ascii="Times New Roman" w:hAnsi="Times New Roman" w:cs="Times New Roman"/>
          <w:color w:val="000000"/>
          <w:sz w:val="24"/>
          <w:szCs w:val="24"/>
        </w:rPr>
        <w:t xml:space="preserve">could be viewed as </w:t>
      </w:r>
      <w:r w:rsidR="00FE1D39">
        <w:rPr>
          <w:rFonts w:ascii="Times New Roman" w:hAnsi="Times New Roman" w:cs="Times New Roman"/>
          <w:color w:val="000000"/>
          <w:sz w:val="24"/>
          <w:szCs w:val="24"/>
        </w:rPr>
        <w:t xml:space="preserve">a mid-case scenario, the </w:t>
      </w:r>
      <w:r w:rsidR="00FE1D39" w:rsidRPr="00A5707A">
        <w:rPr>
          <w:rFonts w:ascii="Times New Roman" w:hAnsi="Times New Roman" w:cs="Times New Roman"/>
          <w:i/>
          <w:color w:val="000000"/>
          <w:sz w:val="24"/>
          <w:szCs w:val="24"/>
        </w:rPr>
        <w:t>extra</w:t>
      </w:r>
      <w:r w:rsidR="00FE1D39">
        <w:rPr>
          <w:rFonts w:ascii="Times New Roman" w:hAnsi="Times New Roman" w:cs="Times New Roman"/>
          <w:color w:val="000000"/>
          <w:sz w:val="24"/>
          <w:szCs w:val="24"/>
        </w:rPr>
        <w:t xml:space="preserve"> GDP</w:t>
      </w:r>
      <w:r w:rsidR="004569E5">
        <w:rPr>
          <w:rFonts w:ascii="Times New Roman" w:hAnsi="Times New Roman" w:cs="Times New Roman"/>
          <w:color w:val="000000"/>
          <w:sz w:val="24"/>
          <w:szCs w:val="24"/>
        </w:rPr>
        <w:t xml:space="preserve"> loss would have been 12.4%</w:t>
      </w:r>
      <w:r w:rsidR="00FE1D39">
        <w:rPr>
          <w:rFonts w:ascii="Times New Roman" w:hAnsi="Times New Roman" w:cs="Times New Roman"/>
          <w:color w:val="000000"/>
          <w:sz w:val="24"/>
          <w:szCs w:val="24"/>
        </w:rPr>
        <w:t xml:space="preserve"> </w:t>
      </w:r>
      <w:r w:rsidR="00173A7D">
        <w:rPr>
          <w:rFonts w:ascii="Times New Roman" w:hAnsi="Times New Roman" w:cs="Times New Roman"/>
          <w:color w:val="000000"/>
          <w:sz w:val="24"/>
          <w:szCs w:val="24"/>
        </w:rPr>
        <w:t xml:space="preserve">of the 2019 GDP </w:t>
      </w:r>
      <w:r w:rsidR="00D1750A">
        <w:rPr>
          <w:rFonts w:ascii="Times New Roman" w:hAnsi="Times New Roman" w:cs="Times New Roman"/>
          <w:color w:val="000000"/>
          <w:sz w:val="24"/>
          <w:szCs w:val="24"/>
        </w:rPr>
        <w:t>entirely du</w:t>
      </w:r>
      <w:r w:rsidR="00FE1D39">
        <w:rPr>
          <w:rFonts w:ascii="Times New Roman" w:hAnsi="Times New Roman" w:cs="Times New Roman"/>
          <w:color w:val="000000"/>
          <w:sz w:val="24"/>
          <w:szCs w:val="24"/>
        </w:rPr>
        <w:t xml:space="preserve">e to </w:t>
      </w:r>
      <w:r w:rsidR="00245903">
        <w:rPr>
          <w:rFonts w:ascii="Times New Roman" w:hAnsi="Times New Roman" w:cs="Times New Roman"/>
          <w:color w:val="000000"/>
          <w:sz w:val="24"/>
          <w:szCs w:val="24"/>
        </w:rPr>
        <w:t>lockdown</w:t>
      </w:r>
      <w:r w:rsidR="00FE1D39">
        <w:rPr>
          <w:rFonts w:ascii="Times New Roman" w:hAnsi="Times New Roman" w:cs="Times New Roman"/>
          <w:color w:val="000000"/>
          <w:sz w:val="24"/>
          <w:szCs w:val="24"/>
        </w:rPr>
        <w:t xml:space="preserve"> rather than mitigation</w:t>
      </w:r>
      <w:r w:rsidR="00173A7D">
        <w:rPr>
          <w:rFonts w:ascii="Times New Roman" w:hAnsi="Times New Roman" w:cs="Times New Roman"/>
          <w:color w:val="000000"/>
          <w:sz w:val="24"/>
          <w:szCs w:val="24"/>
        </w:rPr>
        <w:t xml:space="preserve"> </w:t>
      </w:r>
      <w:r w:rsidR="00487CFE">
        <w:rPr>
          <w:rFonts w:ascii="Times New Roman" w:hAnsi="Times New Roman" w:cs="Times New Roman"/>
          <w:color w:val="000000"/>
          <w:sz w:val="24"/>
          <w:szCs w:val="24"/>
        </w:rPr>
        <w:t xml:space="preserve">by the New Zealand government </w:t>
      </w:r>
      <w:r w:rsidR="00173A7D">
        <w:rPr>
          <w:rFonts w:ascii="Times New Roman" w:hAnsi="Times New Roman" w:cs="Times New Roman"/>
          <w:color w:val="000000"/>
          <w:sz w:val="24"/>
          <w:szCs w:val="24"/>
        </w:rPr>
        <w:t>(511.4 – 499.0)</w:t>
      </w:r>
      <w:r w:rsidR="00FE1D39">
        <w:rPr>
          <w:rFonts w:ascii="Times New Roman" w:hAnsi="Times New Roman" w:cs="Times New Roman"/>
          <w:color w:val="000000"/>
          <w:sz w:val="24"/>
          <w:szCs w:val="24"/>
        </w:rPr>
        <w:t xml:space="preserve">, which would imply a </w:t>
      </w:r>
      <w:r w:rsidR="00F43F17">
        <w:rPr>
          <w:rFonts w:ascii="Times New Roman" w:hAnsi="Times New Roman" w:cs="Times New Roman"/>
          <w:color w:val="000000"/>
          <w:sz w:val="24"/>
          <w:szCs w:val="24"/>
        </w:rPr>
        <w:t xml:space="preserve">total </w:t>
      </w:r>
      <w:r w:rsidR="00FE1D39">
        <w:rPr>
          <w:rFonts w:ascii="Times New Roman" w:hAnsi="Times New Roman" w:cs="Times New Roman"/>
          <w:color w:val="000000"/>
          <w:sz w:val="24"/>
          <w:szCs w:val="24"/>
        </w:rPr>
        <w:t xml:space="preserve">GDP loss from </w:t>
      </w:r>
      <w:r w:rsidR="00245903">
        <w:rPr>
          <w:rFonts w:ascii="Times New Roman" w:hAnsi="Times New Roman" w:cs="Times New Roman"/>
          <w:color w:val="000000"/>
          <w:sz w:val="24"/>
          <w:szCs w:val="24"/>
        </w:rPr>
        <w:t>lockdown</w:t>
      </w:r>
      <w:r w:rsidR="00330DDB">
        <w:rPr>
          <w:rFonts w:ascii="Times New Roman" w:hAnsi="Times New Roman" w:cs="Times New Roman"/>
          <w:color w:val="000000"/>
          <w:sz w:val="24"/>
          <w:szCs w:val="24"/>
        </w:rPr>
        <w:t xml:space="preserve"> over mitigation of 21.2</w:t>
      </w:r>
      <w:r w:rsidR="00FE1D39">
        <w:rPr>
          <w:rFonts w:ascii="Times New Roman" w:hAnsi="Times New Roman" w:cs="Times New Roman"/>
          <w:color w:val="000000"/>
          <w:sz w:val="24"/>
          <w:szCs w:val="24"/>
        </w:rPr>
        <w:t>% (</w:t>
      </w:r>
      <w:r w:rsidR="00330DDB">
        <w:rPr>
          <w:rFonts w:ascii="Times New Roman" w:hAnsi="Times New Roman" w:cs="Times New Roman"/>
          <w:color w:val="000000"/>
          <w:sz w:val="24"/>
          <w:szCs w:val="24"/>
        </w:rPr>
        <w:t>8.8</w:t>
      </w:r>
      <w:r w:rsidR="00FE1D39">
        <w:rPr>
          <w:rFonts w:ascii="Times New Roman" w:hAnsi="Times New Roman" w:cs="Times New Roman"/>
          <w:color w:val="000000"/>
          <w:sz w:val="24"/>
          <w:szCs w:val="24"/>
        </w:rPr>
        <w:t>% in S1 plus</w:t>
      </w:r>
      <w:r w:rsidR="004569E5">
        <w:rPr>
          <w:rFonts w:ascii="Times New Roman" w:hAnsi="Times New Roman" w:cs="Times New Roman"/>
          <w:color w:val="000000"/>
          <w:sz w:val="24"/>
          <w:szCs w:val="24"/>
        </w:rPr>
        <w:t xml:space="preserve"> 12.4</w:t>
      </w:r>
      <w:r w:rsidR="00FE1D39">
        <w:rPr>
          <w:rFonts w:ascii="Times New Roman" w:hAnsi="Times New Roman" w:cs="Times New Roman"/>
          <w:color w:val="000000"/>
          <w:sz w:val="24"/>
          <w:szCs w:val="24"/>
        </w:rPr>
        <w:t xml:space="preserve">% </w:t>
      </w:r>
      <w:r w:rsidR="00330DDB">
        <w:rPr>
          <w:rFonts w:ascii="Times New Roman" w:hAnsi="Times New Roman" w:cs="Times New Roman"/>
          <w:color w:val="000000"/>
          <w:sz w:val="24"/>
          <w:szCs w:val="24"/>
        </w:rPr>
        <w:t>extra in S2), which would be $66</w:t>
      </w:r>
      <w:r w:rsidR="00FE1D39">
        <w:rPr>
          <w:rFonts w:ascii="Times New Roman" w:hAnsi="Times New Roman" w:cs="Times New Roman"/>
          <w:color w:val="000000"/>
          <w:sz w:val="24"/>
          <w:szCs w:val="24"/>
        </w:rPr>
        <w:t>b.  The cost per QALY saved would then be $</w:t>
      </w:r>
      <w:r w:rsidR="00683063">
        <w:rPr>
          <w:rFonts w:ascii="Times New Roman" w:hAnsi="Times New Roman" w:cs="Times New Roman"/>
          <w:color w:val="000000"/>
          <w:sz w:val="24"/>
          <w:szCs w:val="24"/>
        </w:rPr>
        <w:t>2.36</w:t>
      </w:r>
      <w:r w:rsidR="002C7FBE">
        <w:rPr>
          <w:rFonts w:ascii="Times New Roman" w:hAnsi="Times New Roman" w:cs="Times New Roman"/>
          <w:color w:val="000000"/>
          <w:sz w:val="24"/>
          <w:szCs w:val="24"/>
        </w:rPr>
        <w:t>m as follows:</w:t>
      </w:r>
    </w:p>
    <w:p w:rsidR="002C7FBE" w:rsidRPr="004569E5" w:rsidRDefault="002C7FBE" w:rsidP="00FE1D39">
      <w:pPr>
        <w:spacing w:after="0" w:line="360" w:lineRule="auto"/>
        <w:jc w:val="both"/>
        <w:rPr>
          <w:rFonts w:ascii="Times New Roman" w:hAnsi="Times New Roman" w:cs="Times New Roman"/>
          <w:color w:val="000000"/>
          <w:sz w:val="24"/>
          <w:szCs w:val="24"/>
        </w:rPr>
      </w:pPr>
    </w:p>
    <w:p w:rsidR="00FE1D39" w:rsidRPr="00FE1D39" w:rsidRDefault="00FE1D39" w:rsidP="00F53D22">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$66b</m:t>
              </m:r>
            </m:num>
            <m:den>
              <m:r>
                <w:rPr>
                  <w:rFonts w:ascii="Cambria Math" w:hAnsi="Cambria Math" w:cs="Times New Roman"/>
                  <w:sz w:val="24"/>
                  <w:szCs w:val="24"/>
                  <w:lang w:val="en-US"/>
                </w:rPr>
                <m:t>28,000</m:t>
              </m:r>
            </m:den>
          </m:f>
          <m:r>
            <w:rPr>
              <w:rFonts w:ascii="Cambria Math" w:hAnsi="Cambria Math" w:cs="Times New Roman"/>
              <w:sz w:val="24"/>
              <w:szCs w:val="24"/>
              <w:lang w:val="en-US"/>
            </w:rPr>
            <m:t xml:space="preserve">=$2.36m                                                        (2) </m:t>
          </m:r>
        </m:oMath>
      </m:oMathPara>
    </w:p>
    <w:p w:rsidR="00FE1D39" w:rsidRDefault="00FE1D39" w:rsidP="00F53D22">
      <w:pPr>
        <w:spacing w:after="0" w:line="360" w:lineRule="auto"/>
        <w:jc w:val="both"/>
        <w:rPr>
          <w:rFonts w:ascii="Times New Roman" w:hAnsi="Times New Roman" w:cs="Times New Roman"/>
          <w:color w:val="000000"/>
          <w:sz w:val="24"/>
          <w:szCs w:val="24"/>
        </w:rPr>
      </w:pPr>
    </w:p>
    <w:p w:rsidR="002B1D88" w:rsidRDefault="00F53D22" w:rsidP="002B1D88">
      <w:pPr>
        <w:pStyle w:val="NormalWeb"/>
        <w:shd w:val="clear" w:color="auto" w:fill="FFFFFF"/>
        <w:spacing w:before="0" w:beforeAutospacing="0" w:after="0" w:afterAutospacing="0" w:line="360" w:lineRule="auto"/>
        <w:jc w:val="both"/>
        <w:rPr>
          <w:color w:val="000000"/>
        </w:rPr>
      </w:pPr>
      <w:r w:rsidRPr="001570F3">
        <w:rPr>
          <w:color w:val="000000"/>
        </w:rPr>
        <w:t xml:space="preserve">This is </w:t>
      </w:r>
      <w:r w:rsidR="00683063">
        <w:rPr>
          <w:color w:val="000000"/>
        </w:rPr>
        <w:t>38</w:t>
      </w:r>
      <w:r w:rsidR="00FE1D39">
        <w:rPr>
          <w:color w:val="000000"/>
        </w:rPr>
        <w:t xml:space="preserve"> times the </w:t>
      </w:r>
      <w:r w:rsidR="00EF1068">
        <w:rPr>
          <w:color w:val="000000"/>
        </w:rPr>
        <w:t>QALY value of $62,000.</w:t>
      </w:r>
      <w:r w:rsidR="00FE1D39">
        <w:rPr>
          <w:color w:val="000000"/>
        </w:rPr>
        <w:t xml:space="preserve"> </w:t>
      </w:r>
      <w:r w:rsidR="00EF1068">
        <w:rPr>
          <w:color w:val="000000"/>
        </w:rPr>
        <w:t xml:space="preserve"> </w:t>
      </w:r>
      <w:r w:rsidR="00867BA9">
        <w:rPr>
          <w:color w:val="000000"/>
        </w:rPr>
        <w:t xml:space="preserve">Table 2 shows a range of combinations of incremental deaths and </w:t>
      </w:r>
      <w:r w:rsidR="00A718BD">
        <w:rPr>
          <w:color w:val="000000"/>
        </w:rPr>
        <w:t xml:space="preserve">incremental </w:t>
      </w:r>
      <w:r w:rsidR="00867BA9">
        <w:rPr>
          <w:color w:val="000000"/>
        </w:rPr>
        <w:t xml:space="preserve">GDP losses.  </w:t>
      </w:r>
      <w:r w:rsidR="00FB4E20">
        <w:rPr>
          <w:color w:val="000000"/>
        </w:rPr>
        <w:t xml:space="preserve">For S3, the total GDP loss from </w:t>
      </w:r>
      <w:r w:rsidR="00245903">
        <w:rPr>
          <w:color w:val="000000"/>
        </w:rPr>
        <w:t>lockdown</w:t>
      </w:r>
      <w:r w:rsidR="00FB4E20">
        <w:rPr>
          <w:color w:val="000000"/>
        </w:rPr>
        <w:t xml:space="preserve"> over mitigation </w:t>
      </w:r>
      <w:r w:rsidR="004E3B68">
        <w:rPr>
          <w:color w:val="000000"/>
        </w:rPr>
        <w:t xml:space="preserve">is </w:t>
      </w:r>
      <w:r w:rsidR="000815C5">
        <w:rPr>
          <w:color w:val="000000"/>
        </w:rPr>
        <w:t>52.8</w:t>
      </w:r>
      <w:r w:rsidR="00FB4E20">
        <w:rPr>
          <w:color w:val="000000"/>
        </w:rPr>
        <w:t>%</w:t>
      </w:r>
      <w:r w:rsidR="004E3B68">
        <w:rPr>
          <w:color w:val="000000"/>
        </w:rPr>
        <w:t xml:space="preserve"> of 2019 GDP</w:t>
      </w:r>
      <w:r w:rsidR="000815C5">
        <w:rPr>
          <w:color w:val="000000"/>
        </w:rPr>
        <w:t xml:space="preserve"> (8.8</w:t>
      </w:r>
      <w:r w:rsidR="00FB4E20">
        <w:rPr>
          <w:color w:val="000000"/>
        </w:rPr>
        <w:t xml:space="preserve">% in S1 </w:t>
      </w:r>
      <w:r w:rsidR="000815C5">
        <w:rPr>
          <w:color w:val="000000"/>
        </w:rPr>
        <w:t>plus 12.4% extra in S2 plus 31.6</w:t>
      </w:r>
      <w:r w:rsidR="00FB4E20">
        <w:rPr>
          <w:color w:val="000000"/>
        </w:rPr>
        <w:t>% extra in S3</w:t>
      </w:r>
      <w:r w:rsidR="004E3B68">
        <w:rPr>
          <w:color w:val="000000"/>
        </w:rPr>
        <w:t>), which would be $</w:t>
      </w:r>
      <w:r w:rsidR="00E12CF2">
        <w:rPr>
          <w:color w:val="000000"/>
        </w:rPr>
        <w:t>164</w:t>
      </w:r>
      <w:r w:rsidR="0095656C">
        <w:rPr>
          <w:color w:val="000000"/>
        </w:rPr>
        <w:t xml:space="preserve">b.  </w:t>
      </w:r>
      <w:r w:rsidR="00BF15DF">
        <w:rPr>
          <w:color w:val="000000"/>
        </w:rPr>
        <w:t xml:space="preserve">In Table 2, all </w:t>
      </w:r>
      <w:r w:rsidR="00867BA9">
        <w:rPr>
          <w:color w:val="000000"/>
        </w:rPr>
        <w:t xml:space="preserve">of these costs per QALY saved are a multiple of the </w:t>
      </w:r>
      <w:r w:rsidR="00AF1DB4">
        <w:rPr>
          <w:color w:val="000000"/>
        </w:rPr>
        <w:t>QALY value of $62,000.</w:t>
      </w:r>
      <w:r w:rsidRPr="001570F3">
        <w:rPr>
          <w:color w:val="000000"/>
        </w:rPr>
        <w:t xml:space="preserve">  </w:t>
      </w:r>
      <w:r w:rsidR="009D1CBB">
        <w:rPr>
          <w:color w:val="000000"/>
        </w:rPr>
        <w:t xml:space="preserve">Furthermore, all of them are in </w:t>
      </w:r>
      <w:r w:rsidR="00F62371">
        <w:rPr>
          <w:color w:val="000000"/>
        </w:rPr>
        <w:t>excess of the QALY value of $146</w:t>
      </w:r>
      <w:r w:rsidR="002B1D88">
        <w:rPr>
          <w:color w:val="000000"/>
        </w:rPr>
        <w:t xml:space="preserve">,000 derived from the VOSL.  In relation to the central estimate, involving the saving of 9,000 extra lives at an estimated cost of $62b, consistency in government action would require spending $62b to extend the lives of 9,000 people suffering from heart disease, cancer or diabetes, which is three times the entire annual government spending on health care in New Zealand.  </w:t>
      </w:r>
    </w:p>
    <w:p w:rsidR="00E02967" w:rsidRDefault="00E02967" w:rsidP="00E02967">
      <w:pPr>
        <w:pStyle w:val="NormalWeb"/>
        <w:shd w:val="clear" w:color="auto" w:fill="FFFFFF"/>
        <w:spacing w:before="0" w:beforeAutospacing="0" w:after="0" w:afterAutospacing="0" w:line="360" w:lineRule="auto"/>
        <w:jc w:val="both"/>
        <w:rPr>
          <w:color w:val="000000"/>
        </w:rPr>
      </w:pPr>
    </w:p>
    <w:p w:rsidR="00E02967" w:rsidRDefault="00E02967" w:rsidP="00E02967">
      <w:pPr>
        <w:pStyle w:val="NormalWeb"/>
        <w:shd w:val="clear" w:color="auto" w:fill="FFFFFF"/>
        <w:spacing w:before="0" w:beforeAutospacing="0" w:after="0" w:afterAutospacing="0"/>
        <w:jc w:val="center"/>
        <w:rPr>
          <w:color w:val="000000"/>
        </w:rPr>
      </w:pPr>
      <w:r>
        <w:rPr>
          <w:color w:val="000000"/>
        </w:rPr>
        <w:t xml:space="preserve">Table 2: Cost per QALY Saved by Lockdown </w:t>
      </w:r>
      <w:proofErr w:type="gramStart"/>
      <w:r>
        <w:rPr>
          <w:color w:val="000000"/>
        </w:rPr>
        <w:t>Versus</w:t>
      </w:r>
      <w:proofErr w:type="gramEnd"/>
      <w:r>
        <w:rPr>
          <w:color w:val="000000"/>
        </w:rPr>
        <w:t xml:space="preserve"> Mitigation</w:t>
      </w:r>
    </w:p>
    <w:p w:rsidR="00E02967" w:rsidRDefault="00E02967" w:rsidP="00E02967">
      <w:pPr>
        <w:pStyle w:val="NormalWeb"/>
        <w:shd w:val="clear" w:color="auto" w:fill="FFFFFF"/>
        <w:spacing w:before="0" w:beforeAutospacing="0" w:after="0" w:afterAutospacing="0" w:line="360" w:lineRule="auto"/>
        <w:jc w:val="both"/>
        <w:rPr>
          <w:color w:val="000000"/>
        </w:rPr>
      </w:pPr>
      <w:r>
        <w:rPr>
          <w:color w:val="000000"/>
        </w:rPr>
        <w:t>___________________________________________________________________________</w:t>
      </w:r>
    </w:p>
    <w:p w:rsidR="00E02967" w:rsidRDefault="003640B6" w:rsidP="00E02967">
      <w:pPr>
        <w:pStyle w:val="NormalWeb"/>
        <w:shd w:val="clear" w:color="auto" w:fill="FFFFFF"/>
        <w:tabs>
          <w:tab w:val="left" w:pos="3402"/>
          <w:tab w:val="left" w:pos="5103"/>
          <w:tab w:val="left" w:pos="6804"/>
        </w:tabs>
        <w:spacing w:before="0" w:beforeAutospacing="0" w:after="0" w:afterAutospacing="0"/>
        <w:jc w:val="both"/>
        <w:rPr>
          <w:color w:val="000000"/>
        </w:rPr>
      </w:pPr>
      <w:r>
        <w:rPr>
          <w:color w:val="000000"/>
        </w:rPr>
        <w:t>Incremental Deaths</w:t>
      </w:r>
      <w:r>
        <w:rPr>
          <w:color w:val="000000"/>
        </w:rPr>
        <w:tab/>
        <w:t>6,000</w:t>
      </w:r>
      <w:r>
        <w:rPr>
          <w:color w:val="000000"/>
        </w:rPr>
        <w:tab/>
        <w:t>7</w:t>
      </w:r>
      <w:r w:rsidR="00E02967">
        <w:rPr>
          <w:color w:val="000000"/>
        </w:rPr>
        <w:t>,000</w:t>
      </w:r>
      <w:r w:rsidR="00E02967">
        <w:rPr>
          <w:color w:val="000000"/>
        </w:rPr>
        <w:tab/>
        <w:t>30,100</w:t>
      </w:r>
    </w:p>
    <w:p w:rsidR="00E02967" w:rsidRDefault="00E02967" w:rsidP="00E02967">
      <w:pPr>
        <w:pStyle w:val="NormalWeb"/>
        <w:shd w:val="clear" w:color="auto" w:fill="FFFFFF"/>
        <w:tabs>
          <w:tab w:val="left" w:pos="3402"/>
          <w:tab w:val="left" w:pos="5103"/>
          <w:tab w:val="left" w:pos="6804"/>
        </w:tabs>
        <w:spacing w:before="0" w:beforeAutospacing="0" w:after="0" w:afterAutospacing="0" w:line="360" w:lineRule="auto"/>
        <w:jc w:val="both"/>
        <w:rPr>
          <w:color w:val="000000"/>
        </w:rPr>
      </w:pPr>
      <w:r>
        <w:rPr>
          <w:color w:val="000000"/>
        </w:rPr>
        <w:t>_______________________________________________________________________</w:t>
      </w:r>
      <w:r>
        <w:rPr>
          <w:color w:val="000000"/>
        </w:rPr>
        <w:tab/>
      </w:r>
    </w:p>
    <w:p w:rsidR="00E02967" w:rsidRDefault="002C7FBE" w:rsidP="00E02967">
      <w:pPr>
        <w:pStyle w:val="NormalWeb"/>
        <w:shd w:val="clear" w:color="auto" w:fill="FFFFFF"/>
        <w:tabs>
          <w:tab w:val="left" w:pos="3402"/>
          <w:tab w:val="left" w:pos="5103"/>
          <w:tab w:val="left" w:pos="6804"/>
        </w:tabs>
        <w:spacing w:before="0" w:beforeAutospacing="0" w:after="0" w:afterAutospacing="0" w:line="360" w:lineRule="auto"/>
        <w:rPr>
          <w:color w:val="000000"/>
        </w:rPr>
      </w:pPr>
      <w:r>
        <w:rPr>
          <w:color w:val="000000"/>
        </w:rPr>
        <w:t>GDP Loss (S1): $27</w:t>
      </w:r>
      <w:r w:rsidR="00595810">
        <w:rPr>
          <w:color w:val="000000"/>
        </w:rPr>
        <w:t>b</w:t>
      </w:r>
      <w:r w:rsidR="00595810">
        <w:rPr>
          <w:color w:val="000000"/>
        </w:rPr>
        <w:tab/>
        <w:t>$1.12m</w:t>
      </w:r>
      <w:r w:rsidR="00595810">
        <w:rPr>
          <w:color w:val="000000"/>
        </w:rPr>
        <w:tab/>
        <w:t>$0.96m</w:t>
      </w:r>
      <w:r w:rsidR="00595810">
        <w:rPr>
          <w:color w:val="000000"/>
        </w:rPr>
        <w:tab/>
        <w:t>$0.22</w:t>
      </w:r>
      <w:r w:rsidR="00E02967">
        <w:rPr>
          <w:color w:val="000000"/>
        </w:rPr>
        <w:t>m</w:t>
      </w:r>
    </w:p>
    <w:p w:rsidR="00E02967" w:rsidRDefault="002C7FBE" w:rsidP="00E02967">
      <w:pPr>
        <w:pStyle w:val="NormalWeb"/>
        <w:shd w:val="clear" w:color="auto" w:fill="FFFFFF"/>
        <w:tabs>
          <w:tab w:val="left" w:pos="3402"/>
          <w:tab w:val="left" w:pos="5103"/>
          <w:tab w:val="left" w:pos="6804"/>
        </w:tabs>
        <w:spacing w:before="0" w:beforeAutospacing="0" w:after="0" w:afterAutospacing="0" w:line="360" w:lineRule="auto"/>
        <w:rPr>
          <w:color w:val="000000"/>
        </w:rPr>
      </w:pPr>
      <w:r>
        <w:rPr>
          <w:color w:val="000000"/>
        </w:rPr>
        <w:t>GDP Loss (S2): $66</w:t>
      </w:r>
      <w:r w:rsidR="00595810">
        <w:rPr>
          <w:color w:val="000000"/>
        </w:rPr>
        <w:t>b</w:t>
      </w:r>
      <w:r w:rsidR="00595810">
        <w:rPr>
          <w:color w:val="000000"/>
        </w:rPr>
        <w:tab/>
        <w:t>$2.75m</w:t>
      </w:r>
      <w:r w:rsidR="00595810">
        <w:rPr>
          <w:color w:val="000000"/>
        </w:rPr>
        <w:tab/>
        <w:t>$2.36m</w:t>
      </w:r>
      <w:r w:rsidR="00595810">
        <w:rPr>
          <w:color w:val="000000"/>
        </w:rPr>
        <w:tab/>
        <w:t>$0.55</w:t>
      </w:r>
      <w:r w:rsidR="00E02967">
        <w:rPr>
          <w:color w:val="000000"/>
        </w:rPr>
        <w:t>m</w:t>
      </w:r>
    </w:p>
    <w:p w:rsidR="00E02967" w:rsidRDefault="00BC4816" w:rsidP="00E02967">
      <w:pPr>
        <w:pStyle w:val="NormalWeb"/>
        <w:shd w:val="clear" w:color="auto" w:fill="FFFFFF"/>
        <w:tabs>
          <w:tab w:val="left" w:pos="3402"/>
          <w:tab w:val="left" w:pos="5103"/>
          <w:tab w:val="left" w:pos="6804"/>
        </w:tabs>
        <w:spacing w:before="0" w:beforeAutospacing="0" w:after="0" w:afterAutospacing="0"/>
        <w:rPr>
          <w:color w:val="000000"/>
        </w:rPr>
      </w:pPr>
      <w:r>
        <w:rPr>
          <w:color w:val="000000"/>
        </w:rPr>
        <w:t>GDP Loss (S3): $164</w:t>
      </w:r>
      <w:r w:rsidR="00595810">
        <w:rPr>
          <w:color w:val="000000"/>
        </w:rPr>
        <w:t>b</w:t>
      </w:r>
      <w:r w:rsidR="00595810">
        <w:rPr>
          <w:color w:val="000000"/>
        </w:rPr>
        <w:tab/>
        <w:t>$6.83m</w:t>
      </w:r>
      <w:r w:rsidR="00595810">
        <w:rPr>
          <w:color w:val="000000"/>
        </w:rPr>
        <w:tab/>
        <w:t>$5.86m</w:t>
      </w:r>
      <w:r w:rsidR="00595810">
        <w:rPr>
          <w:color w:val="000000"/>
        </w:rPr>
        <w:tab/>
        <w:t>$1.36</w:t>
      </w:r>
      <w:r w:rsidR="00E02967">
        <w:rPr>
          <w:color w:val="000000"/>
        </w:rPr>
        <w:t>m</w:t>
      </w:r>
    </w:p>
    <w:p w:rsidR="00E02967" w:rsidRDefault="00E02967" w:rsidP="00E02967">
      <w:pPr>
        <w:pStyle w:val="NormalWeb"/>
        <w:shd w:val="clear" w:color="auto" w:fill="FFFFFF"/>
        <w:tabs>
          <w:tab w:val="left" w:pos="3402"/>
          <w:tab w:val="left" w:pos="5103"/>
          <w:tab w:val="left" w:pos="6804"/>
        </w:tabs>
        <w:spacing w:before="0" w:beforeAutospacing="0" w:after="0" w:afterAutospacing="0" w:line="360" w:lineRule="auto"/>
        <w:rPr>
          <w:color w:val="000000"/>
        </w:rPr>
      </w:pPr>
      <w:r>
        <w:rPr>
          <w:color w:val="000000"/>
        </w:rPr>
        <w:t>___________________________________________________________________________</w:t>
      </w:r>
    </w:p>
    <w:p w:rsidR="00E02967" w:rsidRDefault="00E02967" w:rsidP="00E02967">
      <w:pPr>
        <w:pStyle w:val="NormalWeb"/>
        <w:shd w:val="clear" w:color="auto" w:fill="FFFFFF"/>
        <w:spacing w:before="0" w:beforeAutospacing="0" w:after="0" w:afterAutospacing="0" w:line="360" w:lineRule="auto"/>
        <w:jc w:val="both"/>
        <w:rPr>
          <w:color w:val="000000"/>
        </w:rPr>
      </w:pPr>
    </w:p>
    <w:p w:rsidR="00FC6533" w:rsidRDefault="00E02967" w:rsidP="00E0296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It is implicit in all of this that the worst case scenario </w:t>
      </w:r>
      <w:r w:rsidR="00FC6533">
        <w:rPr>
          <w:rFonts w:ascii="Times New Roman" w:hAnsi="Times New Roman" w:cs="Times New Roman"/>
          <w:color w:val="000000"/>
          <w:sz w:val="24"/>
          <w:szCs w:val="24"/>
        </w:rPr>
        <w:t xml:space="preserve">is the </w:t>
      </w:r>
      <w:r>
        <w:rPr>
          <w:rFonts w:ascii="Times New Roman" w:hAnsi="Times New Roman" w:cs="Times New Roman"/>
          <w:color w:val="000000"/>
          <w:sz w:val="24"/>
          <w:szCs w:val="24"/>
        </w:rPr>
        <w:t xml:space="preserve">30,100 additional lives in Blakely et al (2020), and that the value of a QALY </w:t>
      </w:r>
      <w:r w:rsidR="00FC6533">
        <w:rPr>
          <w:rFonts w:ascii="Times New Roman" w:hAnsi="Times New Roman" w:cs="Times New Roman"/>
          <w:color w:val="000000"/>
          <w:sz w:val="24"/>
          <w:szCs w:val="24"/>
        </w:rPr>
        <w:t xml:space="preserve">does not </w:t>
      </w:r>
      <w:r>
        <w:rPr>
          <w:rFonts w:ascii="Times New Roman" w:hAnsi="Times New Roman" w:cs="Times New Roman"/>
          <w:color w:val="000000"/>
          <w:sz w:val="24"/>
          <w:szCs w:val="24"/>
        </w:rPr>
        <w:t xml:space="preserve">exceed $62,000.  However, if </w:t>
      </w:r>
      <w:r w:rsidR="00FC6533">
        <w:rPr>
          <w:rFonts w:ascii="Times New Roman" w:hAnsi="Times New Roman" w:cs="Times New Roman"/>
          <w:color w:val="000000"/>
          <w:sz w:val="24"/>
          <w:szCs w:val="24"/>
        </w:rPr>
        <w:t xml:space="preserve">one focused on </w:t>
      </w:r>
      <w:r w:rsidR="00C843BD">
        <w:rPr>
          <w:rFonts w:ascii="Times New Roman" w:hAnsi="Times New Roman" w:cs="Times New Roman"/>
          <w:color w:val="000000"/>
          <w:sz w:val="24"/>
          <w:szCs w:val="24"/>
        </w:rPr>
        <w:t>a worst-case scenario of 47</w:t>
      </w:r>
      <w:r>
        <w:rPr>
          <w:rFonts w:ascii="Times New Roman" w:hAnsi="Times New Roman" w:cs="Times New Roman"/>
          <w:color w:val="000000"/>
          <w:sz w:val="24"/>
          <w:szCs w:val="24"/>
        </w:rPr>
        <w:t xml:space="preserve">,000 additional lives saved from lockdown versus </w:t>
      </w:r>
      <w:proofErr w:type="gramStart"/>
      <w:r>
        <w:rPr>
          <w:rFonts w:ascii="Times New Roman" w:hAnsi="Times New Roman" w:cs="Times New Roman"/>
          <w:color w:val="000000"/>
          <w:sz w:val="24"/>
          <w:szCs w:val="24"/>
        </w:rPr>
        <w:t>mitigation,</w:t>
      </w:r>
      <w:proofErr w:type="gramEnd"/>
      <w:r>
        <w:rPr>
          <w:rFonts w:ascii="Times New Roman" w:hAnsi="Times New Roman" w:cs="Times New Roman"/>
          <w:color w:val="000000"/>
          <w:sz w:val="24"/>
          <w:szCs w:val="24"/>
        </w:rPr>
        <w:t xml:space="preserve"> and a GDP loss from lockdown over mitigation of </w:t>
      </w:r>
      <w:r w:rsidR="00FC6533">
        <w:rPr>
          <w:rFonts w:ascii="Times New Roman" w:hAnsi="Times New Roman" w:cs="Times New Roman"/>
          <w:color w:val="000000"/>
          <w:sz w:val="24"/>
          <w:szCs w:val="24"/>
        </w:rPr>
        <w:t xml:space="preserve">as little as </w:t>
      </w:r>
      <w:r w:rsidR="002A160D">
        <w:rPr>
          <w:rFonts w:ascii="Times New Roman" w:hAnsi="Times New Roman" w:cs="Times New Roman"/>
          <w:color w:val="000000"/>
          <w:sz w:val="24"/>
          <w:szCs w:val="24"/>
        </w:rPr>
        <w:t>$27</w:t>
      </w:r>
      <w:r>
        <w:rPr>
          <w:rFonts w:ascii="Times New Roman" w:hAnsi="Times New Roman" w:cs="Times New Roman"/>
          <w:color w:val="000000"/>
          <w:sz w:val="24"/>
          <w:szCs w:val="24"/>
        </w:rPr>
        <w:t xml:space="preserve">b as above, the cost per QALY saved would </w:t>
      </w:r>
      <w:r w:rsidR="00FC6533">
        <w:rPr>
          <w:rFonts w:ascii="Times New Roman" w:hAnsi="Times New Roman" w:cs="Times New Roman"/>
          <w:color w:val="000000"/>
          <w:sz w:val="24"/>
          <w:szCs w:val="24"/>
        </w:rPr>
        <w:t xml:space="preserve">be </w:t>
      </w:r>
      <w:r>
        <w:rPr>
          <w:rFonts w:ascii="Times New Roman" w:hAnsi="Times New Roman" w:cs="Times New Roman"/>
          <w:color w:val="000000"/>
          <w:sz w:val="24"/>
          <w:szCs w:val="24"/>
        </w:rPr>
        <w:t>$144,000 as follows</w:t>
      </w:r>
      <w:r w:rsidR="00FC6533">
        <w:rPr>
          <w:rFonts w:ascii="Times New Roman" w:hAnsi="Times New Roman" w:cs="Times New Roman"/>
          <w:color w:val="000000"/>
          <w:sz w:val="24"/>
          <w:szCs w:val="24"/>
        </w:rPr>
        <w:t>:</w:t>
      </w:r>
    </w:p>
    <w:p w:rsidR="00E02967" w:rsidRDefault="00E02967" w:rsidP="00E0296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02967" w:rsidRPr="001570F3" w:rsidRDefault="00033DF9" w:rsidP="00E02967">
      <w:pPr>
        <w:spacing w:after="0" w:line="360" w:lineRule="auto"/>
        <w:jc w:val="both"/>
        <w:rPr>
          <w:rFonts w:ascii="Times New Roman" w:hAnsi="Times New Roman" w:cs="Times New Roman"/>
          <w:sz w:val="24"/>
          <w:szCs w:val="24"/>
          <w:lang w:val="en-US"/>
        </w:rPr>
      </w:pPr>
      <m:oMathPara>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$27b</m:t>
              </m:r>
            </m:num>
            <m:den>
              <m:r>
                <w:rPr>
                  <w:rFonts w:ascii="Cambria Math" w:hAnsi="Cambria Math" w:cs="Times New Roman"/>
                  <w:color w:val="000000"/>
                  <w:sz w:val="24"/>
                  <w:szCs w:val="24"/>
                </w:rPr>
                <m:t>47,000(5)(0.8)</m:t>
              </m:r>
            </m:den>
          </m:f>
          <m:r>
            <w:rPr>
              <w:rFonts w:ascii="Cambria Math" w:hAnsi="Cambria Math" w:cs="Times New Roman"/>
              <w:color w:val="000000"/>
              <w:sz w:val="24"/>
              <w:szCs w:val="24"/>
            </w:rPr>
            <m:t>=$144,000</m:t>
          </m:r>
        </m:oMath>
      </m:oMathPara>
    </w:p>
    <w:p w:rsidR="00E02967" w:rsidRDefault="00E02967" w:rsidP="00E02967">
      <w:pPr>
        <w:pStyle w:val="NormalWeb"/>
        <w:shd w:val="clear" w:color="auto" w:fill="FFFFFF"/>
        <w:spacing w:before="0" w:beforeAutospacing="0" w:after="0" w:afterAutospacing="0" w:line="360" w:lineRule="auto"/>
        <w:jc w:val="both"/>
        <w:rPr>
          <w:color w:val="000000"/>
        </w:rPr>
      </w:pPr>
    </w:p>
    <w:p w:rsidR="00E02967" w:rsidRDefault="00FC6533" w:rsidP="00E02967">
      <w:pPr>
        <w:pStyle w:val="NormalWeb"/>
        <w:shd w:val="clear" w:color="auto" w:fill="FFFFFF"/>
        <w:spacing w:before="0" w:beforeAutospacing="0" w:after="0" w:afterAutospacing="0" w:line="360" w:lineRule="auto"/>
        <w:jc w:val="both"/>
        <w:rPr>
          <w:color w:val="000000"/>
        </w:rPr>
      </w:pPr>
      <w:r>
        <w:rPr>
          <w:color w:val="000000"/>
        </w:rPr>
        <w:t xml:space="preserve">Additionally using </w:t>
      </w:r>
      <w:r w:rsidR="00E02967">
        <w:rPr>
          <w:color w:val="000000"/>
        </w:rPr>
        <w:t>a value per QALY of $146,000</w:t>
      </w:r>
      <w:r>
        <w:rPr>
          <w:color w:val="000000"/>
        </w:rPr>
        <w:t xml:space="preserve"> from the VOSL</w:t>
      </w:r>
      <w:r w:rsidR="00262515">
        <w:rPr>
          <w:color w:val="000000"/>
        </w:rPr>
        <w:t>Y</w:t>
      </w:r>
      <w:r>
        <w:rPr>
          <w:color w:val="000000"/>
        </w:rPr>
        <w:t xml:space="preserve"> approach</w:t>
      </w:r>
      <w:r w:rsidR="00E02967">
        <w:rPr>
          <w:color w:val="000000"/>
        </w:rPr>
        <w:t xml:space="preserve">, the decision to lockdown would have then (just) been justified within this framework.  However this would require the lowest </w:t>
      </w:r>
      <w:r>
        <w:rPr>
          <w:color w:val="000000"/>
        </w:rPr>
        <w:t xml:space="preserve">estimate for the </w:t>
      </w:r>
      <w:r w:rsidR="00E02967">
        <w:rPr>
          <w:color w:val="000000"/>
        </w:rPr>
        <w:t>GDP</w:t>
      </w:r>
      <w:r>
        <w:rPr>
          <w:color w:val="000000"/>
        </w:rPr>
        <w:t xml:space="preserve"> loss</w:t>
      </w:r>
      <w:r w:rsidR="00E02967">
        <w:rPr>
          <w:color w:val="000000"/>
        </w:rPr>
        <w:t xml:space="preserve">, </w:t>
      </w:r>
      <w:r w:rsidR="00AA7847">
        <w:rPr>
          <w:color w:val="000000"/>
        </w:rPr>
        <w:t xml:space="preserve">the highest possible value for a QALY, and </w:t>
      </w:r>
      <w:r>
        <w:rPr>
          <w:color w:val="000000"/>
        </w:rPr>
        <w:t xml:space="preserve">a </w:t>
      </w:r>
      <w:r w:rsidR="00E02967">
        <w:rPr>
          <w:color w:val="000000"/>
        </w:rPr>
        <w:t>loss of lives well beyond Blakely</w:t>
      </w:r>
      <w:r w:rsidR="00AA7847">
        <w:rPr>
          <w:color w:val="000000"/>
        </w:rPr>
        <w:t xml:space="preserve"> et </w:t>
      </w:r>
      <w:proofErr w:type="spellStart"/>
      <w:r w:rsidR="00AA7847">
        <w:rPr>
          <w:color w:val="000000"/>
        </w:rPr>
        <w:t>al</w:t>
      </w:r>
      <w:r w:rsidR="00E25732">
        <w:rPr>
          <w:color w:val="000000"/>
        </w:rPr>
        <w:t>’s</w:t>
      </w:r>
      <w:proofErr w:type="spellEnd"/>
      <w:r w:rsidR="00E25732">
        <w:rPr>
          <w:color w:val="000000"/>
        </w:rPr>
        <w:t xml:space="preserve"> (2020) worst case scenario</w:t>
      </w:r>
      <w:r w:rsidR="00AA7847">
        <w:rPr>
          <w:color w:val="000000"/>
        </w:rPr>
        <w:t>.</w:t>
      </w:r>
    </w:p>
    <w:p w:rsidR="00E02967" w:rsidRPr="001570F3" w:rsidRDefault="00E02967" w:rsidP="00F53D22">
      <w:pPr>
        <w:pStyle w:val="NormalWeb"/>
        <w:shd w:val="clear" w:color="auto" w:fill="FFFFFF"/>
        <w:spacing w:before="0" w:beforeAutospacing="0" w:after="0" w:afterAutospacing="0" w:line="360" w:lineRule="auto"/>
        <w:jc w:val="both"/>
        <w:rPr>
          <w:color w:val="000000"/>
        </w:rPr>
      </w:pPr>
    </w:p>
    <w:p w:rsidR="00F53D22" w:rsidRPr="000B7E7F" w:rsidRDefault="00FC6533" w:rsidP="00F53D22">
      <w:pPr>
        <w:pStyle w:val="NormalWeb"/>
        <w:shd w:val="clear" w:color="auto" w:fill="FFFFFF"/>
        <w:spacing w:before="0" w:beforeAutospacing="0" w:after="0" w:afterAutospacing="0" w:line="360" w:lineRule="auto"/>
        <w:jc w:val="both"/>
        <w:rPr>
          <w:color w:val="000000"/>
        </w:rPr>
      </w:pPr>
      <w:r>
        <w:rPr>
          <w:color w:val="000000"/>
        </w:rPr>
        <w:t xml:space="preserve">Returning to the GDP loss, </w:t>
      </w:r>
      <w:r w:rsidR="007C62AB">
        <w:rPr>
          <w:color w:val="000000"/>
        </w:rPr>
        <w:t>whatever the figure is</w:t>
      </w:r>
      <w:r w:rsidR="00D51BAB">
        <w:rPr>
          <w:color w:val="000000"/>
        </w:rPr>
        <w:t xml:space="preserve">, it </w:t>
      </w:r>
      <w:r w:rsidR="00F53D22">
        <w:rPr>
          <w:color w:val="000000"/>
        </w:rPr>
        <w:t xml:space="preserve">may </w:t>
      </w:r>
      <w:r w:rsidR="00F53D22" w:rsidRPr="000B7E7F">
        <w:rPr>
          <w:color w:val="000000"/>
        </w:rPr>
        <w:t xml:space="preserve">not be </w:t>
      </w:r>
      <w:r w:rsidR="00F53D22">
        <w:rPr>
          <w:color w:val="000000"/>
        </w:rPr>
        <w:t>‘</w:t>
      </w:r>
      <w:r w:rsidR="00F53D22" w:rsidRPr="000B7E7F">
        <w:rPr>
          <w:color w:val="000000"/>
        </w:rPr>
        <w:t>evenly</w:t>
      </w:r>
      <w:r w:rsidR="00F53D22">
        <w:rPr>
          <w:color w:val="000000"/>
        </w:rPr>
        <w:t>’</w:t>
      </w:r>
      <w:r w:rsidR="00F53D22" w:rsidRPr="000B7E7F">
        <w:rPr>
          <w:color w:val="000000"/>
        </w:rPr>
        <w:t xml:space="preserve"> shared</w:t>
      </w:r>
      <w:r w:rsidR="00F53D22">
        <w:rPr>
          <w:color w:val="000000"/>
        </w:rPr>
        <w:t xml:space="preserve"> (through the tax system in the usual way with medical expenditures to extend lives)</w:t>
      </w:r>
      <w:r w:rsidR="00F53D22" w:rsidRPr="000B7E7F">
        <w:rPr>
          <w:color w:val="000000"/>
        </w:rPr>
        <w:t xml:space="preserve">.  It </w:t>
      </w:r>
      <w:r w:rsidR="00F53D22">
        <w:rPr>
          <w:color w:val="000000"/>
        </w:rPr>
        <w:t xml:space="preserve">may </w:t>
      </w:r>
      <w:r w:rsidR="00F53D22" w:rsidRPr="000B7E7F">
        <w:rPr>
          <w:color w:val="000000"/>
        </w:rPr>
        <w:t xml:space="preserve">fall largely on </w:t>
      </w:r>
      <w:r w:rsidR="00F53D22">
        <w:rPr>
          <w:color w:val="000000"/>
        </w:rPr>
        <w:t>two groups.  The first own businesses and would suffer a loss in profits</w:t>
      </w:r>
      <w:r w:rsidR="003869F3">
        <w:rPr>
          <w:color w:val="000000"/>
        </w:rPr>
        <w:t>, possibly to the point the business fails</w:t>
      </w:r>
      <w:r w:rsidR="00F53D22">
        <w:rPr>
          <w:color w:val="000000"/>
        </w:rPr>
        <w:t xml:space="preserve">.  The second would </w:t>
      </w:r>
      <w:r w:rsidR="00F53D22" w:rsidRPr="000B7E7F">
        <w:rPr>
          <w:color w:val="000000"/>
        </w:rPr>
        <w:t xml:space="preserve">lose their jobs and remain unemployed for </w:t>
      </w:r>
      <w:r w:rsidR="00F53D22">
        <w:rPr>
          <w:color w:val="000000"/>
        </w:rPr>
        <w:t xml:space="preserve">some period.  </w:t>
      </w:r>
      <w:r w:rsidR="00F53D22" w:rsidRPr="000B7E7F">
        <w:rPr>
          <w:color w:val="000000"/>
        </w:rPr>
        <w:t xml:space="preserve">By </w:t>
      </w:r>
      <w:r w:rsidR="00F53D22">
        <w:rPr>
          <w:color w:val="000000"/>
        </w:rPr>
        <w:t xml:space="preserve">adopting a </w:t>
      </w:r>
      <w:r w:rsidR="00245903">
        <w:rPr>
          <w:color w:val="000000"/>
        </w:rPr>
        <w:t>lockdown</w:t>
      </w:r>
      <w:r w:rsidR="00F53D22">
        <w:rPr>
          <w:color w:val="000000"/>
        </w:rPr>
        <w:t xml:space="preserve"> rather than a mitigation policy, </w:t>
      </w:r>
      <w:r w:rsidR="00F53D22" w:rsidRPr="000B7E7F">
        <w:rPr>
          <w:color w:val="000000"/>
        </w:rPr>
        <w:t>in order to moderately extend the lives of</w:t>
      </w:r>
      <w:r w:rsidR="00F53D22">
        <w:rPr>
          <w:color w:val="000000"/>
        </w:rPr>
        <w:t xml:space="preserve"> </w:t>
      </w:r>
      <w:r w:rsidR="00437D29">
        <w:rPr>
          <w:color w:val="000000"/>
        </w:rPr>
        <w:t>9</w:t>
      </w:r>
      <w:r w:rsidR="00F53D22">
        <w:rPr>
          <w:color w:val="000000"/>
        </w:rPr>
        <w:t xml:space="preserve">,000 largely old and sick </w:t>
      </w:r>
      <w:r w:rsidR="00F53D22" w:rsidRPr="000B7E7F">
        <w:rPr>
          <w:color w:val="000000"/>
        </w:rPr>
        <w:t xml:space="preserve">people, </w:t>
      </w:r>
      <w:r w:rsidR="00F53D22">
        <w:rPr>
          <w:color w:val="000000"/>
        </w:rPr>
        <w:t xml:space="preserve">these two other groups might </w:t>
      </w:r>
      <w:r w:rsidR="00F53D22" w:rsidRPr="000B7E7F">
        <w:rPr>
          <w:color w:val="000000"/>
        </w:rPr>
        <w:t xml:space="preserve">suffer </w:t>
      </w:r>
      <w:r w:rsidR="00F53D22">
        <w:rPr>
          <w:color w:val="000000"/>
        </w:rPr>
        <w:t xml:space="preserve">substantial </w:t>
      </w:r>
      <w:r w:rsidR="00F53D22" w:rsidRPr="000B7E7F">
        <w:rPr>
          <w:color w:val="000000"/>
        </w:rPr>
        <w:t>financial loss</w:t>
      </w:r>
      <w:r w:rsidR="00F53D22">
        <w:rPr>
          <w:color w:val="000000"/>
        </w:rPr>
        <w:t>es</w:t>
      </w:r>
      <w:r w:rsidR="00F53D22" w:rsidRPr="000B7E7F">
        <w:rPr>
          <w:color w:val="000000"/>
        </w:rPr>
        <w:t>.</w:t>
      </w:r>
      <w:r w:rsidR="00F53D22">
        <w:rPr>
          <w:color w:val="000000"/>
        </w:rPr>
        <w:t xml:space="preserve">  The extent to which this actually occurs will depend upon the extent to which </w:t>
      </w:r>
      <w:r>
        <w:rPr>
          <w:color w:val="000000"/>
        </w:rPr>
        <w:t>their fellow citizens compensate</w:t>
      </w:r>
      <w:r w:rsidR="00F53D22">
        <w:rPr>
          <w:color w:val="000000"/>
        </w:rPr>
        <w:t xml:space="preserve"> them for these losses.  Furthermore, even if the government does intervene in an attempt to protect some vulnerable groups, other vulnerable groups may be inadvertently hurt.  For example, if rent payments were suspended by government for some period, landlords will suffer and some of them will be retired people who derive a considerable proportion of their modest incomes from this source.  In addition, prospective landlords will not rent out their properties, to the disadvantage of both parties.</w:t>
      </w:r>
    </w:p>
    <w:p w:rsidR="00F53D22" w:rsidRDefault="00F53D22" w:rsidP="00F53D22">
      <w:pPr>
        <w:spacing w:after="0" w:line="360" w:lineRule="auto"/>
        <w:jc w:val="both"/>
        <w:rPr>
          <w:rFonts w:ascii="Times New Roman" w:hAnsi="Times New Roman" w:cs="Times New Roman"/>
          <w:sz w:val="24"/>
          <w:szCs w:val="24"/>
          <w:lang w:val="en-US"/>
        </w:rPr>
      </w:pPr>
    </w:p>
    <w:p w:rsidR="00F53D22" w:rsidRDefault="00F53D22" w:rsidP="00F53D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analysis omits many relevant features, some of which would reduce the cost per QALY saved by a </w:t>
      </w:r>
      <w:r w:rsidR="00245903">
        <w:rPr>
          <w:rFonts w:ascii="Times New Roman" w:hAnsi="Times New Roman" w:cs="Times New Roman"/>
          <w:sz w:val="24"/>
          <w:szCs w:val="24"/>
          <w:lang w:val="en-US"/>
        </w:rPr>
        <w:t>lockdown</w:t>
      </w:r>
      <w:r>
        <w:rPr>
          <w:rFonts w:ascii="Times New Roman" w:hAnsi="Times New Roman" w:cs="Times New Roman"/>
          <w:sz w:val="24"/>
          <w:szCs w:val="24"/>
          <w:lang w:val="en-US"/>
        </w:rPr>
        <w:t xml:space="preserve"> </w:t>
      </w:r>
      <w:r w:rsidR="0043034D">
        <w:rPr>
          <w:rFonts w:ascii="Times New Roman" w:hAnsi="Times New Roman" w:cs="Times New Roman"/>
          <w:sz w:val="24"/>
          <w:szCs w:val="24"/>
          <w:lang w:val="en-US"/>
        </w:rPr>
        <w:t>rather than a mitigation policy</w:t>
      </w:r>
      <w:r>
        <w:rPr>
          <w:rFonts w:ascii="Times New Roman" w:hAnsi="Times New Roman" w:cs="Times New Roman"/>
          <w:sz w:val="24"/>
          <w:szCs w:val="24"/>
          <w:lang w:val="en-US"/>
        </w:rPr>
        <w:t xml:space="preserve">.  Firstly, with </w:t>
      </w:r>
      <w:proofErr w:type="gramStart"/>
      <w:r>
        <w:rPr>
          <w:rFonts w:ascii="Times New Roman" w:hAnsi="Times New Roman" w:cs="Times New Roman"/>
          <w:sz w:val="24"/>
          <w:szCs w:val="24"/>
          <w:lang w:val="en-US"/>
        </w:rPr>
        <w:t>a mitigation</w:t>
      </w:r>
      <w:proofErr w:type="gramEnd"/>
      <w:r>
        <w:rPr>
          <w:rFonts w:ascii="Times New Roman" w:hAnsi="Times New Roman" w:cs="Times New Roman"/>
          <w:sz w:val="24"/>
          <w:szCs w:val="24"/>
          <w:lang w:val="en-US"/>
        </w:rPr>
        <w:t xml:space="preserve"> rather than a </w:t>
      </w:r>
      <w:r w:rsidR="00245903">
        <w:rPr>
          <w:rFonts w:ascii="Times New Roman" w:hAnsi="Times New Roman" w:cs="Times New Roman"/>
          <w:sz w:val="24"/>
          <w:szCs w:val="24"/>
          <w:lang w:val="en-US"/>
        </w:rPr>
        <w:t>lockdown</w:t>
      </w:r>
      <w:r>
        <w:rPr>
          <w:rFonts w:ascii="Times New Roman" w:hAnsi="Times New Roman" w:cs="Times New Roman"/>
          <w:sz w:val="24"/>
          <w:szCs w:val="24"/>
          <w:lang w:val="en-US"/>
        </w:rPr>
        <w:t xml:space="preserve"> policy, the health system may be so overwhelmed by Covid-19 cases that many other people may die </w:t>
      </w:r>
      <w:r w:rsidR="00CA44EB">
        <w:rPr>
          <w:rFonts w:ascii="Times New Roman" w:hAnsi="Times New Roman" w:cs="Times New Roman"/>
          <w:sz w:val="24"/>
          <w:szCs w:val="24"/>
          <w:lang w:val="en-US"/>
        </w:rPr>
        <w:t xml:space="preserve">or suffer reduced quality of life </w:t>
      </w:r>
      <w:r>
        <w:rPr>
          <w:rFonts w:ascii="Times New Roman" w:hAnsi="Times New Roman" w:cs="Times New Roman"/>
          <w:sz w:val="24"/>
          <w:szCs w:val="24"/>
          <w:lang w:val="en-US"/>
        </w:rPr>
        <w:t xml:space="preserve">from lack of care.  Secondly, there are direct medical costs of dealing with the demand surge from </w:t>
      </w:r>
      <w:proofErr w:type="gramStart"/>
      <w:r>
        <w:rPr>
          <w:rFonts w:ascii="Times New Roman" w:hAnsi="Times New Roman" w:cs="Times New Roman"/>
          <w:sz w:val="24"/>
          <w:szCs w:val="24"/>
          <w:lang w:val="en-US"/>
        </w:rPr>
        <w:t>a mitigation</w:t>
      </w:r>
      <w:proofErr w:type="gramEnd"/>
      <w:r>
        <w:rPr>
          <w:rFonts w:ascii="Times New Roman" w:hAnsi="Times New Roman" w:cs="Times New Roman"/>
          <w:sz w:val="24"/>
          <w:szCs w:val="24"/>
          <w:lang w:val="en-US"/>
        </w:rPr>
        <w:t xml:space="preserve"> rather than a </w:t>
      </w:r>
      <w:r w:rsidR="00245903">
        <w:rPr>
          <w:rFonts w:ascii="Times New Roman" w:hAnsi="Times New Roman" w:cs="Times New Roman"/>
          <w:sz w:val="24"/>
          <w:szCs w:val="24"/>
          <w:lang w:val="en-US"/>
        </w:rPr>
        <w:t>lockdown</w:t>
      </w:r>
      <w:r>
        <w:rPr>
          <w:rFonts w:ascii="Times New Roman" w:hAnsi="Times New Roman" w:cs="Times New Roman"/>
          <w:sz w:val="24"/>
          <w:szCs w:val="24"/>
          <w:lang w:val="en-US"/>
        </w:rPr>
        <w:t xml:space="preserve"> policy.  </w:t>
      </w:r>
      <w:r w:rsidR="00CA44EB">
        <w:rPr>
          <w:rFonts w:ascii="Times New Roman" w:hAnsi="Times New Roman" w:cs="Times New Roman"/>
          <w:sz w:val="24"/>
          <w:szCs w:val="24"/>
          <w:lang w:val="en-US"/>
        </w:rPr>
        <w:t xml:space="preserve">Boyd (2020, Table 3) estimates these at $1b if the system is saturated with </w:t>
      </w:r>
      <w:r w:rsidR="00CA44EB">
        <w:rPr>
          <w:rFonts w:ascii="Times New Roman" w:hAnsi="Times New Roman" w:cs="Times New Roman"/>
          <w:sz w:val="24"/>
          <w:szCs w:val="24"/>
          <w:lang w:val="en-US"/>
        </w:rPr>
        <w:lastRenderedPageBreak/>
        <w:t xml:space="preserve">cases, </w:t>
      </w:r>
      <w:r>
        <w:rPr>
          <w:rFonts w:ascii="Times New Roman" w:hAnsi="Times New Roman" w:cs="Times New Roman"/>
          <w:sz w:val="24"/>
          <w:szCs w:val="24"/>
          <w:lang w:val="en-US"/>
        </w:rPr>
        <w:t xml:space="preserve">which only trivially lowers the cost per QALY saved.  </w:t>
      </w:r>
      <w:r w:rsidR="00A01F46">
        <w:rPr>
          <w:rFonts w:ascii="Times New Roman" w:hAnsi="Times New Roman" w:cs="Times New Roman"/>
          <w:sz w:val="24"/>
          <w:szCs w:val="24"/>
          <w:lang w:val="en-US"/>
        </w:rPr>
        <w:t xml:space="preserve">Thirdly, </w:t>
      </w:r>
      <w:r w:rsidR="00CA44EB">
        <w:rPr>
          <w:rFonts w:ascii="Times New Roman" w:hAnsi="Times New Roman" w:cs="Times New Roman"/>
          <w:sz w:val="24"/>
          <w:szCs w:val="24"/>
          <w:lang w:val="en-US"/>
        </w:rPr>
        <w:t xml:space="preserve">lockdown reduces </w:t>
      </w:r>
      <w:r w:rsidR="00A01F46">
        <w:rPr>
          <w:rFonts w:ascii="Times New Roman" w:hAnsi="Times New Roman" w:cs="Times New Roman"/>
          <w:sz w:val="24"/>
          <w:szCs w:val="24"/>
          <w:lang w:val="en-US"/>
        </w:rPr>
        <w:t>road deaths</w:t>
      </w:r>
      <w:r w:rsidR="00CA44EB">
        <w:rPr>
          <w:rFonts w:ascii="Times New Roman" w:hAnsi="Times New Roman" w:cs="Times New Roman"/>
          <w:sz w:val="24"/>
          <w:szCs w:val="24"/>
          <w:lang w:val="en-US"/>
        </w:rPr>
        <w:t xml:space="preserve"> and </w:t>
      </w:r>
      <w:r w:rsidR="00A01F46">
        <w:rPr>
          <w:rFonts w:ascii="Times New Roman" w:hAnsi="Times New Roman" w:cs="Times New Roman"/>
          <w:sz w:val="24"/>
          <w:szCs w:val="24"/>
          <w:lang w:val="en-US"/>
        </w:rPr>
        <w:t>po</w:t>
      </w:r>
      <w:r w:rsidR="00CA44EB">
        <w:rPr>
          <w:rFonts w:ascii="Times New Roman" w:hAnsi="Times New Roman" w:cs="Times New Roman"/>
          <w:sz w:val="24"/>
          <w:szCs w:val="24"/>
          <w:lang w:val="en-US"/>
        </w:rPr>
        <w:t>llution</w:t>
      </w:r>
      <w:r w:rsidR="003E2D30">
        <w:rPr>
          <w:rFonts w:ascii="Times New Roman" w:hAnsi="Times New Roman" w:cs="Times New Roman"/>
          <w:sz w:val="24"/>
          <w:szCs w:val="24"/>
          <w:lang w:val="en-US"/>
        </w:rPr>
        <w:t>.  Layard et al (2020, page 2) examines this issue and concludes that these additional factors are slight relative to t</w:t>
      </w:r>
      <w:r w:rsidR="007C30E0">
        <w:rPr>
          <w:rFonts w:ascii="Times New Roman" w:hAnsi="Times New Roman" w:cs="Times New Roman"/>
          <w:sz w:val="24"/>
          <w:szCs w:val="24"/>
          <w:lang w:val="en-US"/>
        </w:rPr>
        <w:t>he higher deaths from Covid</w:t>
      </w:r>
      <w:r w:rsidR="003E2D30">
        <w:rPr>
          <w:rFonts w:ascii="Times New Roman" w:hAnsi="Times New Roman" w:cs="Times New Roman"/>
          <w:sz w:val="24"/>
          <w:szCs w:val="24"/>
          <w:lang w:val="en-US"/>
        </w:rPr>
        <w:t>-19.</w:t>
      </w:r>
    </w:p>
    <w:p w:rsidR="00F53D22" w:rsidRDefault="00F53D22" w:rsidP="00F53D22">
      <w:pPr>
        <w:spacing w:after="0" w:line="360" w:lineRule="auto"/>
        <w:jc w:val="both"/>
        <w:rPr>
          <w:rFonts w:ascii="Times New Roman" w:hAnsi="Times New Roman" w:cs="Times New Roman"/>
          <w:sz w:val="24"/>
          <w:szCs w:val="24"/>
          <w:lang w:val="en-US"/>
        </w:rPr>
      </w:pPr>
    </w:p>
    <w:p w:rsidR="00F53D22" w:rsidRDefault="00F53D22" w:rsidP="00F53D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analysis also omits many features that would raise the cost per QALY saved.  Firstly, some of the lives seemingly saved from a </w:t>
      </w:r>
      <w:r w:rsidR="00245903">
        <w:rPr>
          <w:rFonts w:ascii="Times New Roman" w:hAnsi="Times New Roman" w:cs="Times New Roman"/>
          <w:sz w:val="24"/>
          <w:szCs w:val="24"/>
          <w:lang w:val="en-US"/>
        </w:rPr>
        <w:t xml:space="preserve">lockdown </w:t>
      </w:r>
      <w:r>
        <w:rPr>
          <w:rFonts w:ascii="Times New Roman" w:hAnsi="Times New Roman" w:cs="Times New Roman"/>
          <w:sz w:val="24"/>
          <w:szCs w:val="24"/>
          <w:lang w:val="en-US"/>
        </w:rPr>
        <w:t xml:space="preserve">rather than a mitigation policy would be lost anyway if the </w:t>
      </w:r>
      <w:r w:rsidR="00245903">
        <w:rPr>
          <w:rFonts w:ascii="Times New Roman" w:hAnsi="Times New Roman" w:cs="Times New Roman"/>
          <w:sz w:val="24"/>
          <w:szCs w:val="24"/>
          <w:lang w:val="en-US"/>
        </w:rPr>
        <w:t xml:space="preserve">lockdown </w:t>
      </w:r>
      <w:r>
        <w:rPr>
          <w:rFonts w:ascii="Times New Roman" w:hAnsi="Times New Roman" w:cs="Times New Roman"/>
          <w:sz w:val="24"/>
          <w:szCs w:val="24"/>
          <w:lang w:val="en-US"/>
        </w:rPr>
        <w:t xml:space="preserve">restrictions </w:t>
      </w:r>
      <w:r w:rsidR="00245903">
        <w:rPr>
          <w:rFonts w:ascii="Times New Roman" w:hAnsi="Times New Roman" w:cs="Times New Roman"/>
          <w:sz w:val="24"/>
          <w:szCs w:val="24"/>
          <w:lang w:val="en-US"/>
        </w:rPr>
        <w:t xml:space="preserve">were </w:t>
      </w:r>
      <w:r w:rsidR="00707E59">
        <w:rPr>
          <w:rFonts w:ascii="Times New Roman" w:hAnsi="Times New Roman" w:cs="Times New Roman"/>
          <w:sz w:val="24"/>
          <w:szCs w:val="24"/>
          <w:lang w:val="en-US"/>
        </w:rPr>
        <w:t>lifted before a vaccine arrived</w:t>
      </w:r>
      <w:r>
        <w:rPr>
          <w:rFonts w:ascii="Times New Roman" w:hAnsi="Times New Roman" w:cs="Times New Roman"/>
          <w:sz w:val="24"/>
          <w:szCs w:val="24"/>
          <w:lang w:val="en-US"/>
        </w:rPr>
        <w:t xml:space="preserve"> </w:t>
      </w:r>
      <w:r w:rsidR="00C9378C">
        <w:rPr>
          <w:rFonts w:ascii="Times New Roman" w:hAnsi="Times New Roman" w:cs="Times New Roman"/>
          <w:sz w:val="24"/>
          <w:szCs w:val="24"/>
          <w:lang w:val="en-US"/>
        </w:rPr>
        <w:t xml:space="preserve">and </w:t>
      </w:r>
      <w:r w:rsidR="00793EF9">
        <w:rPr>
          <w:rFonts w:ascii="Times New Roman" w:hAnsi="Times New Roman" w:cs="Times New Roman"/>
          <w:sz w:val="24"/>
          <w:szCs w:val="24"/>
          <w:lang w:val="en-US"/>
        </w:rPr>
        <w:t>then gave</w:t>
      </w:r>
      <w:r w:rsidR="00C9378C">
        <w:rPr>
          <w:rFonts w:ascii="Times New Roman" w:hAnsi="Times New Roman" w:cs="Times New Roman"/>
          <w:sz w:val="24"/>
          <w:szCs w:val="24"/>
          <w:lang w:val="en-US"/>
        </w:rPr>
        <w:t xml:space="preserve"> rise to additional deaths (Holden and Preston, 2020)</w:t>
      </w:r>
      <w:r>
        <w:rPr>
          <w:rFonts w:ascii="Times New Roman" w:hAnsi="Times New Roman" w:cs="Times New Roman"/>
          <w:sz w:val="24"/>
          <w:szCs w:val="24"/>
          <w:lang w:val="en-US"/>
        </w:rPr>
        <w:t xml:space="preserve">.  So, the additional lives saved by </w:t>
      </w:r>
      <w:r w:rsidR="00EB3068">
        <w:rPr>
          <w:rFonts w:ascii="Times New Roman" w:hAnsi="Times New Roman" w:cs="Times New Roman"/>
          <w:sz w:val="24"/>
          <w:szCs w:val="24"/>
          <w:lang w:val="en-US"/>
        </w:rPr>
        <w:t>lockdown</w:t>
      </w:r>
      <w:r>
        <w:rPr>
          <w:rFonts w:ascii="Times New Roman" w:hAnsi="Times New Roman" w:cs="Times New Roman"/>
          <w:sz w:val="24"/>
          <w:szCs w:val="24"/>
          <w:lang w:val="en-US"/>
        </w:rPr>
        <w:t xml:space="preserve"> rather than mitigation </w:t>
      </w:r>
      <w:r w:rsidR="0043034D">
        <w:rPr>
          <w:rFonts w:ascii="Times New Roman" w:hAnsi="Times New Roman" w:cs="Times New Roman"/>
          <w:sz w:val="24"/>
          <w:szCs w:val="24"/>
          <w:lang w:val="en-US"/>
        </w:rPr>
        <w:t xml:space="preserve">would be </w:t>
      </w:r>
      <w:r>
        <w:rPr>
          <w:rFonts w:ascii="Times New Roman" w:hAnsi="Times New Roman" w:cs="Times New Roman"/>
          <w:sz w:val="24"/>
          <w:szCs w:val="24"/>
          <w:lang w:val="en-US"/>
        </w:rPr>
        <w:t xml:space="preserve">overestimated.  Secondly, </w:t>
      </w:r>
      <w:r w:rsidR="00EB3068">
        <w:rPr>
          <w:rFonts w:ascii="Times New Roman" w:hAnsi="Times New Roman" w:cs="Times New Roman"/>
          <w:sz w:val="24"/>
          <w:szCs w:val="24"/>
          <w:lang w:val="en-US"/>
        </w:rPr>
        <w:t xml:space="preserve">lockdown </w:t>
      </w:r>
      <w:r>
        <w:rPr>
          <w:rFonts w:ascii="Times New Roman" w:hAnsi="Times New Roman" w:cs="Times New Roman"/>
          <w:sz w:val="24"/>
          <w:szCs w:val="24"/>
          <w:lang w:val="en-US"/>
        </w:rPr>
        <w:t xml:space="preserve">increases unemployment and therefore leads to an increase in a host of attendant problems: addiction, crime, domestic violence, mental health problems, and premature death.  Thirdly, the normal operation of the health care system </w:t>
      </w:r>
      <w:r w:rsidR="00516211">
        <w:rPr>
          <w:rFonts w:ascii="Times New Roman" w:hAnsi="Times New Roman" w:cs="Times New Roman"/>
          <w:sz w:val="24"/>
          <w:szCs w:val="24"/>
          <w:lang w:val="en-US"/>
        </w:rPr>
        <w:t xml:space="preserve">would be </w:t>
      </w:r>
      <w:r>
        <w:rPr>
          <w:rFonts w:ascii="Times New Roman" w:hAnsi="Times New Roman" w:cs="Times New Roman"/>
          <w:sz w:val="24"/>
          <w:szCs w:val="24"/>
          <w:lang w:val="en-US"/>
        </w:rPr>
        <w:t xml:space="preserve">disrupted by a </w:t>
      </w:r>
      <w:r w:rsidR="00EB3068">
        <w:rPr>
          <w:rFonts w:ascii="Times New Roman" w:hAnsi="Times New Roman" w:cs="Times New Roman"/>
          <w:sz w:val="24"/>
          <w:szCs w:val="24"/>
          <w:lang w:val="en-US"/>
        </w:rPr>
        <w:t>lockdown</w:t>
      </w:r>
      <w:r>
        <w:rPr>
          <w:rFonts w:ascii="Times New Roman" w:hAnsi="Times New Roman" w:cs="Times New Roman"/>
          <w:sz w:val="24"/>
          <w:szCs w:val="24"/>
          <w:lang w:val="en-US"/>
        </w:rPr>
        <w:t xml:space="preserve"> policy, leading to deaths that would not otherwise occur.  In respect of the UK, Miles et al (2020, page 68) notes that referrals for cancer investigations were 70% down in April 2020, and outpatient visits were 64% down between </w:t>
      </w:r>
      <w:proofErr w:type="spellStart"/>
      <w:r>
        <w:rPr>
          <w:rFonts w:ascii="Times New Roman" w:hAnsi="Times New Roman" w:cs="Times New Roman"/>
          <w:sz w:val="24"/>
          <w:szCs w:val="24"/>
          <w:lang w:val="en-US"/>
        </w:rPr>
        <w:t>mid March</w:t>
      </w:r>
      <w:proofErr w:type="spellEnd"/>
      <w:r>
        <w:rPr>
          <w:rFonts w:ascii="Times New Roman" w:hAnsi="Times New Roman" w:cs="Times New Roman"/>
          <w:sz w:val="24"/>
          <w:szCs w:val="24"/>
          <w:lang w:val="en-US"/>
        </w:rPr>
        <w:t xml:space="preserve"> and early June.  </w:t>
      </w:r>
      <w:r w:rsidR="00372B31">
        <w:rPr>
          <w:rFonts w:ascii="Times New Roman" w:hAnsi="Times New Roman" w:cs="Times New Roman"/>
          <w:sz w:val="24"/>
          <w:szCs w:val="24"/>
          <w:lang w:val="en-US"/>
        </w:rPr>
        <w:t xml:space="preserve">Some of these reductions are a consequence of the pandemic rather than pursuit of a </w:t>
      </w:r>
      <w:r w:rsidR="00EB3068">
        <w:rPr>
          <w:rFonts w:ascii="Times New Roman" w:hAnsi="Times New Roman" w:cs="Times New Roman"/>
          <w:sz w:val="24"/>
          <w:szCs w:val="24"/>
          <w:lang w:val="en-US"/>
        </w:rPr>
        <w:t xml:space="preserve">lockdown </w:t>
      </w:r>
      <w:r w:rsidR="00372B31">
        <w:rPr>
          <w:rFonts w:ascii="Times New Roman" w:hAnsi="Times New Roman" w:cs="Times New Roman"/>
          <w:sz w:val="24"/>
          <w:szCs w:val="24"/>
          <w:lang w:val="en-US"/>
        </w:rPr>
        <w:t xml:space="preserve">policy by government, but at least some of them will have arisen from the policy choice.  </w:t>
      </w:r>
      <w:r>
        <w:rPr>
          <w:rFonts w:ascii="Times New Roman" w:hAnsi="Times New Roman" w:cs="Times New Roman"/>
          <w:sz w:val="24"/>
          <w:szCs w:val="24"/>
          <w:lang w:val="en-US"/>
        </w:rPr>
        <w:t xml:space="preserve">Fourthly, there are adverse long-term consequences </w:t>
      </w:r>
      <w:r w:rsidR="00096877">
        <w:rPr>
          <w:rFonts w:ascii="Times New Roman" w:hAnsi="Times New Roman" w:cs="Times New Roman"/>
          <w:sz w:val="24"/>
          <w:szCs w:val="24"/>
          <w:lang w:val="en-US"/>
        </w:rPr>
        <w:t xml:space="preserve">for the Covid-19 student cohort </w:t>
      </w:r>
      <w:r>
        <w:rPr>
          <w:rFonts w:ascii="Times New Roman" w:hAnsi="Times New Roman" w:cs="Times New Roman"/>
          <w:sz w:val="24"/>
          <w:szCs w:val="24"/>
          <w:lang w:val="en-US"/>
        </w:rPr>
        <w:t xml:space="preserve">from not attending school.  </w:t>
      </w:r>
      <w:r w:rsidR="004A7234">
        <w:rPr>
          <w:rFonts w:ascii="Times New Roman" w:hAnsi="Times New Roman" w:cs="Times New Roman"/>
          <w:sz w:val="24"/>
          <w:szCs w:val="24"/>
          <w:lang w:val="en-US"/>
        </w:rPr>
        <w:t xml:space="preserve">Fifthly, lockdowns deprive people of </w:t>
      </w:r>
      <w:r w:rsidR="00064923">
        <w:rPr>
          <w:rFonts w:ascii="Times New Roman" w:hAnsi="Times New Roman" w:cs="Times New Roman"/>
          <w:sz w:val="24"/>
          <w:szCs w:val="24"/>
          <w:lang w:val="en-US"/>
        </w:rPr>
        <w:t xml:space="preserve">liberties </w:t>
      </w:r>
      <w:r w:rsidR="004A7234">
        <w:rPr>
          <w:rFonts w:ascii="Times New Roman" w:hAnsi="Times New Roman" w:cs="Times New Roman"/>
          <w:sz w:val="24"/>
          <w:szCs w:val="24"/>
          <w:lang w:val="en-US"/>
        </w:rPr>
        <w:t xml:space="preserve">that they would otherwise exercise.  </w:t>
      </w:r>
      <w:proofErr w:type="gramStart"/>
      <w:r>
        <w:rPr>
          <w:rFonts w:ascii="Times New Roman" w:hAnsi="Times New Roman" w:cs="Times New Roman"/>
          <w:sz w:val="24"/>
          <w:szCs w:val="24"/>
          <w:lang w:val="en-US"/>
        </w:rPr>
        <w:t>All of these</w:t>
      </w:r>
      <w:proofErr w:type="gramEnd"/>
      <w:r>
        <w:rPr>
          <w:rFonts w:ascii="Times New Roman" w:hAnsi="Times New Roman" w:cs="Times New Roman"/>
          <w:sz w:val="24"/>
          <w:szCs w:val="24"/>
          <w:lang w:val="en-US"/>
        </w:rPr>
        <w:t xml:space="preserve"> raise the cost per QALY saved.  </w:t>
      </w:r>
    </w:p>
    <w:p w:rsidR="00F53D22" w:rsidRDefault="00F53D22" w:rsidP="00F53D22">
      <w:pPr>
        <w:spacing w:after="0" w:line="360" w:lineRule="auto"/>
        <w:jc w:val="both"/>
        <w:rPr>
          <w:rFonts w:ascii="Times New Roman" w:hAnsi="Times New Roman" w:cs="Times New Roman"/>
          <w:sz w:val="24"/>
          <w:szCs w:val="24"/>
          <w:lang w:val="en-US"/>
        </w:rPr>
      </w:pPr>
    </w:p>
    <w:p w:rsidR="00F53D22" w:rsidRDefault="00F53D22" w:rsidP="00F53D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the appropriate cost from the GDP losses is not the GDP losses themselves but the “economic surplus”, which is the consumer surpluses (the aggregate amount consumers are willing to pay in excess of the amounts actually paid for all goods and services) plus the producer surpluses (the aggregate amounts received by producers less the amounts they would be willing to accept to produce at this level), and this sum could be more or less than the GDP losses.  Again, there is considerable room for large adjustments before </w:t>
      </w:r>
      <w:r w:rsidR="00652562">
        <w:rPr>
          <w:rFonts w:ascii="Times New Roman" w:hAnsi="Times New Roman" w:cs="Times New Roman"/>
          <w:sz w:val="24"/>
          <w:szCs w:val="24"/>
          <w:lang w:val="en-US"/>
        </w:rPr>
        <w:t xml:space="preserve">lockdown </w:t>
      </w:r>
      <w:r>
        <w:rPr>
          <w:rFonts w:ascii="Times New Roman" w:hAnsi="Times New Roman" w:cs="Times New Roman"/>
          <w:sz w:val="24"/>
          <w:szCs w:val="24"/>
          <w:lang w:val="en-US"/>
        </w:rPr>
        <w:t xml:space="preserve">involves a cost per QALY saved no higher than generally employed value of a QALY.  </w:t>
      </w:r>
    </w:p>
    <w:p w:rsidR="00F53D22" w:rsidRDefault="00F53D22" w:rsidP="00F53D22">
      <w:pPr>
        <w:spacing w:after="0" w:line="360" w:lineRule="auto"/>
        <w:jc w:val="both"/>
        <w:rPr>
          <w:rFonts w:ascii="Times New Roman" w:hAnsi="Times New Roman" w:cs="Times New Roman"/>
          <w:sz w:val="24"/>
          <w:szCs w:val="24"/>
          <w:lang w:val="en-US"/>
        </w:rPr>
      </w:pPr>
    </w:p>
    <w:p w:rsidR="00F53D22" w:rsidRDefault="00F53D22" w:rsidP="00F53D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of this </w:t>
      </w:r>
      <w:r w:rsidR="00516211">
        <w:rPr>
          <w:rFonts w:ascii="Times New Roman" w:hAnsi="Times New Roman" w:cs="Times New Roman"/>
          <w:sz w:val="24"/>
          <w:szCs w:val="24"/>
          <w:lang w:val="en-US"/>
        </w:rPr>
        <w:t xml:space="preserve">suggests that, based upon information available to the government at the time of the first lockdown in March, </w:t>
      </w:r>
      <w:r>
        <w:rPr>
          <w:rFonts w:ascii="Times New Roman" w:hAnsi="Times New Roman" w:cs="Times New Roman"/>
          <w:sz w:val="24"/>
          <w:szCs w:val="24"/>
          <w:lang w:val="en-US"/>
        </w:rPr>
        <w:t xml:space="preserve">the cost per QALY saved of a </w:t>
      </w:r>
      <w:r w:rsidR="00392750">
        <w:rPr>
          <w:rFonts w:ascii="Times New Roman" w:hAnsi="Times New Roman" w:cs="Times New Roman"/>
          <w:sz w:val="24"/>
          <w:szCs w:val="24"/>
          <w:lang w:val="en-US"/>
        </w:rPr>
        <w:t xml:space="preserve">lockdown </w:t>
      </w:r>
      <w:r>
        <w:rPr>
          <w:rFonts w:ascii="Times New Roman" w:hAnsi="Times New Roman" w:cs="Times New Roman"/>
          <w:sz w:val="24"/>
          <w:szCs w:val="24"/>
          <w:lang w:val="en-US"/>
        </w:rPr>
        <w:t xml:space="preserve">rather than a mitigation approach by the New Zealand government </w:t>
      </w:r>
      <w:r w:rsidR="00C614F9">
        <w:rPr>
          <w:rFonts w:ascii="Times New Roman" w:hAnsi="Times New Roman" w:cs="Times New Roman"/>
          <w:sz w:val="24"/>
          <w:szCs w:val="24"/>
          <w:lang w:val="en-US"/>
        </w:rPr>
        <w:t xml:space="preserve">would be </w:t>
      </w:r>
      <w:r>
        <w:rPr>
          <w:rFonts w:ascii="Times New Roman" w:hAnsi="Times New Roman" w:cs="Times New Roman"/>
          <w:sz w:val="24"/>
          <w:szCs w:val="24"/>
          <w:lang w:val="en-US"/>
        </w:rPr>
        <w:t xml:space="preserve">dramatically inconsistent with long-established views on the value of a QALY.  </w:t>
      </w:r>
      <w:r w:rsidR="00767CA0">
        <w:rPr>
          <w:rFonts w:ascii="Times New Roman" w:hAnsi="Times New Roman" w:cs="Times New Roman"/>
          <w:sz w:val="24"/>
          <w:szCs w:val="24"/>
          <w:lang w:val="en-US"/>
        </w:rPr>
        <w:t>Consideration of non-quantifiable factors does not appear to alter this conclusion.</w:t>
      </w:r>
      <w:r w:rsidR="00746389">
        <w:rPr>
          <w:rFonts w:ascii="Times New Roman" w:hAnsi="Times New Roman" w:cs="Times New Roman"/>
          <w:sz w:val="24"/>
          <w:szCs w:val="24"/>
          <w:lang w:val="en-US"/>
        </w:rPr>
        <w:t xml:space="preserve">  There are ethical judgements here, </w:t>
      </w:r>
      <w:r w:rsidR="00697E23">
        <w:rPr>
          <w:rFonts w:ascii="Times New Roman" w:hAnsi="Times New Roman" w:cs="Times New Roman"/>
          <w:sz w:val="24"/>
          <w:szCs w:val="24"/>
          <w:lang w:val="en-US"/>
        </w:rPr>
        <w:t xml:space="preserve">reflected in the </w:t>
      </w:r>
      <w:r w:rsidR="00697E23">
        <w:rPr>
          <w:rFonts w:ascii="Times New Roman" w:hAnsi="Times New Roman" w:cs="Times New Roman"/>
          <w:sz w:val="24"/>
          <w:szCs w:val="24"/>
          <w:lang w:val="en-US"/>
        </w:rPr>
        <w:lastRenderedPageBreak/>
        <w:t xml:space="preserve">conventional </w:t>
      </w:r>
      <w:r w:rsidR="00746389">
        <w:rPr>
          <w:rFonts w:ascii="Times New Roman" w:hAnsi="Times New Roman" w:cs="Times New Roman"/>
          <w:sz w:val="24"/>
          <w:szCs w:val="24"/>
          <w:lang w:val="en-US"/>
        </w:rPr>
        <w:t xml:space="preserve">QALY approach to health decisions.  In particular, a life with one year left is worth ten times that of a life with ten years left.  </w:t>
      </w:r>
      <w:r w:rsidR="00E3483D">
        <w:rPr>
          <w:rFonts w:ascii="Times New Roman" w:hAnsi="Times New Roman" w:cs="Times New Roman"/>
          <w:sz w:val="24"/>
          <w:szCs w:val="24"/>
          <w:lang w:val="en-US"/>
        </w:rPr>
        <w:t xml:space="preserve">Naturally, there is room for </w:t>
      </w:r>
      <w:r w:rsidR="00746389">
        <w:rPr>
          <w:rFonts w:ascii="Times New Roman" w:hAnsi="Times New Roman" w:cs="Times New Roman"/>
          <w:sz w:val="24"/>
          <w:szCs w:val="24"/>
          <w:lang w:val="en-US"/>
        </w:rPr>
        <w:t xml:space="preserve">different views, but one could not reasonably view all lives equally because that would lead to being willing to spend as much to extend the life of a person by one day as one would for a different person for ten years.  I limit myself here to applying the </w:t>
      </w:r>
      <w:r w:rsidR="00813FF2">
        <w:rPr>
          <w:rFonts w:ascii="Times New Roman" w:hAnsi="Times New Roman" w:cs="Times New Roman"/>
          <w:sz w:val="24"/>
          <w:szCs w:val="24"/>
          <w:lang w:val="en-US"/>
        </w:rPr>
        <w:t xml:space="preserve">QALY </w:t>
      </w:r>
      <w:r w:rsidR="00746389">
        <w:rPr>
          <w:rFonts w:ascii="Times New Roman" w:hAnsi="Times New Roman" w:cs="Times New Roman"/>
          <w:sz w:val="24"/>
          <w:szCs w:val="24"/>
          <w:lang w:val="en-US"/>
        </w:rPr>
        <w:t>methodology</w:t>
      </w:r>
      <w:r w:rsidR="00813FF2">
        <w:rPr>
          <w:rFonts w:ascii="Times New Roman" w:hAnsi="Times New Roman" w:cs="Times New Roman"/>
          <w:sz w:val="24"/>
          <w:szCs w:val="24"/>
          <w:lang w:val="en-US"/>
        </w:rPr>
        <w:t xml:space="preserve">, which is used by </w:t>
      </w:r>
      <w:proofErr w:type="spellStart"/>
      <w:r w:rsidR="00813FF2">
        <w:rPr>
          <w:rFonts w:ascii="Times New Roman" w:hAnsi="Times New Roman" w:cs="Times New Roman"/>
          <w:sz w:val="24"/>
          <w:szCs w:val="24"/>
          <w:lang w:val="en-US"/>
        </w:rPr>
        <w:t>Pharmac</w:t>
      </w:r>
      <w:proofErr w:type="spellEnd"/>
      <w:r w:rsidR="00813FF2">
        <w:rPr>
          <w:rFonts w:ascii="Times New Roman" w:hAnsi="Times New Roman" w:cs="Times New Roman"/>
          <w:sz w:val="24"/>
          <w:szCs w:val="24"/>
          <w:lang w:val="en-US"/>
        </w:rPr>
        <w:t xml:space="preserve"> (2015) and public health experts (</w:t>
      </w:r>
      <w:proofErr w:type="spellStart"/>
      <w:r w:rsidR="00813FF2">
        <w:rPr>
          <w:rFonts w:ascii="Times New Roman" w:hAnsi="Times New Roman" w:cs="Times New Roman"/>
          <w:sz w:val="24"/>
          <w:szCs w:val="24"/>
          <w:lang w:val="en-US"/>
        </w:rPr>
        <w:t>Kvizhinadze</w:t>
      </w:r>
      <w:proofErr w:type="spellEnd"/>
      <w:r w:rsidR="00813FF2">
        <w:rPr>
          <w:rFonts w:ascii="Times New Roman" w:hAnsi="Times New Roman" w:cs="Times New Roman"/>
          <w:sz w:val="24"/>
          <w:szCs w:val="24"/>
          <w:lang w:val="en-US"/>
        </w:rPr>
        <w:t xml:space="preserve"> et al, 2015; </w:t>
      </w:r>
      <w:r w:rsidR="001A0B6C">
        <w:rPr>
          <w:rFonts w:ascii="Times New Roman" w:hAnsi="Times New Roman" w:cs="Times New Roman"/>
          <w:sz w:val="24"/>
          <w:szCs w:val="24"/>
          <w:lang w:val="en-US"/>
        </w:rPr>
        <w:t>Boyd et al, 2018</w:t>
      </w:r>
      <w:r w:rsidR="00E95E50">
        <w:rPr>
          <w:rFonts w:ascii="Times New Roman" w:hAnsi="Times New Roman" w:cs="Times New Roman"/>
          <w:sz w:val="24"/>
          <w:szCs w:val="24"/>
          <w:lang w:val="en-US"/>
        </w:rPr>
        <w:t>; Blakely et al, 2020</w:t>
      </w:r>
      <w:r w:rsidR="00813FF2">
        <w:rPr>
          <w:rFonts w:ascii="Times New Roman" w:hAnsi="Times New Roman" w:cs="Times New Roman"/>
          <w:sz w:val="24"/>
          <w:szCs w:val="24"/>
          <w:lang w:val="en-US"/>
        </w:rPr>
        <w:t>)</w:t>
      </w:r>
      <w:r w:rsidR="00746389">
        <w:rPr>
          <w:rFonts w:ascii="Times New Roman" w:hAnsi="Times New Roman" w:cs="Times New Roman"/>
          <w:sz w:val="24"/>
          <w:szCs w:val="24"/>
          <w:lang w:val="en-US"/>
        </w:rPr>
        <w:t>.</w:t>
      </w:r>
    </w:p>
    <w:p w:rsidR="00CB7BCC" w:rsidRDefault="00CB7BCC" w:rsidP="00CB7BCC">
      <w:pPr>
        <w:spacing w:after="0" w:line="360" w:lineRule="auto"/>
        <w:jc w:val="both"/>
        <w:rPr>
          <w:rFonts w:ascii="Times New Roman" w:hAnsi="Times New Roman" w:cs="Times New Roman"/>
          <w:sz w:val="24"/>
          <w:szCs w:val="24"/>
          <w:lang w:val="en-US"/>
        </w:rPr>
      </w:pPr>
    </w:p>
    <w:p w:rsidR="00D520CC" w:rsidRPr="00D520CC" w:rsidRDefault="00D520CC" w:rsidP="00CB7BCC">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2.4 Real Options Analysis</w:t>
      </w:r>
    </w:p>
    <w:p w:rsidR="00C12766" w:rsidRDefault="00CB7BCC" w:rsidP="00CB7BC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analysis characterizes the policy choice as lockdown or mitigation in March 2020</w:t>
      </w:r>
      <w:r w:rsidR="003261C8">
        <w:rPr>
          <w:rFonts w:ascii="Times New Roman" w:hAnsi="Times New Roman" w:cs="Times New Roman"/>
          <w:sz w:val="24"/>
          <w:szCs w:val="24"/>
          <w:lang w:val="en-US"/>
        </w:rPr>
        <w:t>,</w:t>
      </w:r>
      <w:r>
        <w:rPr>
          <w:rFonts w:ascii="Times New Roman" w:hAnsi="Times New Roman" w:cs="Times New Roman"/>
          <w:sz w:val="24"/>
          <w:szCs w:val="24"/>
          <w:lang w:val="en-US"/>
        </w:rPr>
        <w:t xml:space="preserve"> without the option of subsequently changing actions, i.e., initial lockdown could have been subsequently displaced by mitigation if the </w:t>
      </w:r>
      <w:r w:rsidR="00D520CC">
        <w:rPr>
          <w:rFonts w:ascii="Times New Roman" w:hAnsi="Times New Roman" w:cs="Times New Roman"/>
          <w:sz w:val="24"/>
          <w:szCs w:val="24"/>
          <w:lang w:val="en-US"/>
        </w:rPr>
        <w:t xml:space="preserve">deaths </w:t>
      </w:r>
      <w:r w:rsidR="00F17FA8">
        <w:rPr>
          <w:rFonts w:ascii="Times New Roman" w:hAnsi="Times New Roman" w:cs="Times New Roman"/>
          <w:sz w:val="24"/>
          <w:szCs w:val="24"/>
          <w:lang w:val="en-US"/>
        </w:rPr>
        <w:t>(</w:t>
      </w:r>
      <w:r w:rsidR="00D520CC">
        <w:rPr>
          <w:rFonts w:ascii="Times New Roman" w:hAnsi="Times New Roman" w:cs="Times New Roman"/>
          <w:sz w:val="24"/>
          <w:szCs w:val="24"/>
          <w:lang w:val="en-US"/>
        </w:rPr>
        <w:t>had mitigation been initially undertaken</w:t>
      </w:r>
      <w:r w:rsidR="00F17FA8">
        <w:rPr>
          <w:rFonts w:ascii="Times New Roman" w:hAnsi="Times New Roman" w:cs="Times New Roman"/>
          <w:sz w:val="24"/>
          <w:szCs w:val="24"/>
          <w:lang w:val="en-US"/>
        </w:rPr>
        <w:t>)</w:t>
      </w:r>
      <w:r w:rsidR="00D520CC">
        <w:rPr>
          <w:rFonts w:ascii="Times New Roman" w:hAnsi="Times New Roman" w:cs="Times New Roman"/>
          <w:sz w:val="24"/>
          <w:szCs w:val="24"/>
          <w:lang w:val="en-US"/>
        </w:rPr>
        <w:t xml:space="preserve"> were much lower than expected</w:t>
      </w:r>
      <w:r>
        <w:rPr>
          <w:rFonts w:ascii="Times New Roman" w:hAnsi="Times New Roman" w:cs="Times New Roman"/>
          <w:sz w:val="24"/>
          <w:szCs w:val="24"/>
          <w:lang w:val="en-US"/>
        </w:rPr>
        <w:t xml:space="preserve">, and initial mitigation could have been subsequently replaced by lockdown if </w:t>
      </w:r>
      <w:r w:rsidR="000B42F8">
        <w:rPr>
          <w:rFonts w:ascii="Times New Roman" w:hAnsi="Times New Roman" w:cs="Times New Roman"/>
          <w:sz w:val="24"/>
          <w:szCs w:val="24"/>
          <w:lang w:val="en-US"/>
        </w:rPr>
        <w:t xml:space="preserve">the </w:t>
      </w:r>
      <w:r>
        <w:rPr>
          <w:rFonts w:ascii="Times New Roman" w:hAnsi="Times New Roman" w:cs="Times New Roman"/>
          <w:sz w:val="24"/>
          <w:szCs w:val="24"/>
          <w:lang w:val="en-US"/>
        </w:rPr>
        <w:t>deaths proved to be much larger than ex</w:t>
      </w:r>
      <w:r w:rsidR="000B42F8">
        <w:rPr>
          <w:rFonts w:ascii="Times New Roman" w:hAnsi="Times New Roman" w:cs="Times New Roman"/>
          <w:sz w:val="24"/>
          <w:szCs w:val="24"/>
          <w:lang w:val="en-US"/>
        </w:rPr>
        <w:t>pected</w:t>
      </w:r>
      <w:r>
        <w:rPr>
          <w:rFonts w:ascii="Times New Roman" w:hAnsi="Times New Roman" w:cs="Times New Roman"/>
          <w:sz w:val="24"/>
          <w:szCs w:val="24"/>
          <w:lang w:val="en-US"/>
        </w:rPr>
        <w:t xml:space="preserve">.  </w:t>
      </w:r>
      <w:r w:rsidR="00960534">
        <w:rPr>
          <w:rFonts w:ascii="Times New Roman" w:hAnsi="Times New Roman" w:cs="Times New Roman"/>
          <w:sz w:val="24"/>
          <w:szCs w:val="24"/>
          <w:lang w:val="en-US"/>
        </w:rPr>
        <w:t xml:space="preserve">Interestingly, in acknowledging that it did not apply </w:t>
      </w:r>
      <w:r w:rsidR="00403E51">
        <w:rPr>
          <w:rFonts w:ascii="Times New Roman" w:hAnsi="Times New Roman" w:cs="Times New Roman"/>
          <w:sz w:val="24"/>
          <w:szCs w:val="24"/>
          <w:lang w:val="en-US"/>
        </w:rPr>
        <w:t>quantitative cost-benefit analysis</w:t>
      </w:r>
      <w:r w:rsidR="00EE0B9C">
        <w:rPr>
          <w:rFonts w:ascii="Times New Roman" w:hAnsi="Times New Roman" w:cs="Times New Roman"/>
          <w:sz w:val="24"/>
          <w:szCs w:val="24"/>
          <w:lang w:val="en-US"/>
        </w:rPr>
        <w:t xml:space="preserve"> </w:t>
      </w:r>
      <w:r w:rsidR="00A42D44">
        <w:rPr>
          <w:rFonts w:ascii="Times New Roman" w:hAnsi="Times New Roman" w:cs="Times New Roman"/>
          <w:sz w:val="24"/>
          <w:szCs w:val="24"/>
          <w:lang w:val="en-US"/>
        </w:rPr>
        <w:t xml:space="preserve">to </w:t>
      </w:r>
      <w:r w:rsidR="00960534">
        <w:rPr>
          <w:rFonts w:ascii="Times New Roman" w:hAnsi="Times New Roman" w:cs="Times New Roman"/>
          <w:sz w:val="24"/>
          <w:szCs w:val="24"/>
          <w:lang w:val="en-US"/>
        </w:rPr>
        <w:t xml:space="preserve">assist in its lockdown decision, the National Crisis Management Centre (2020, para 8) justifies this on the grounds that </w:t>
      </w:r>
      <w:r w:rsidR="00C5733A">
        <w:rPr>
          <w:rFonts w:ascii="Times New Roman" w:hAnsi="Times New Roman" w:cs="Times New Roman"/>
          <w:sz w:val="24"/>
          <w:szCs w:val="24"/>
          <w:lang w:val="en-US"/>
        </w:rPr>
        <w:t>it “may not fully capture the dynamic nature of the information and choices</w:t>
      </w:r>
      <w:r w:rsidR="00A42D44">
        <w:rPr>
          <w:rFonts w:ascii="Times New Roman" w:hAnsi="Times New Roman" w:cs="Times New Roman"/>
          <w:sz w:val="24"/>
          <w:szCs w:val="24"/>
          <w:lang w:val="en-US"/>
        </w:rPr>
        <w:t xml:space="preserve"> available at particular points in time</w:t>
      </w:r>
      <w:proofErr w:type="gramStart"/>
      <w:r w:rsidR="00A42D44">
        <w:rPr>
          <w:rFonts w:ascii="Times New Roman" w:hAnsi="Times New Roman" w:cs="Times New Roman"/>
          <w:sz w:val="24"/>
          <w:szCs w:val="24"/>
          <w:lang w:val="en-US"/>
        </w:rPr>
        <w:t>..”</w:t>
      </w:r>
      <w:proofErr w:type="gramEnd"/>
    </w:p>
    <w:p w:rsidR="00C12766" w:rsidRDefault="00C12766" w:rsidP="00CB7BCC">
      <w:pPr>
        <w:spacing w:after="0" w:line="360" w:lineRule="auto"/>
        <w:jc w:val="both"/>
        <w:rPr>
          <w:rFonts w:ascii="Times New Roman" w:hAnsi="Times New Roman" w:cs="Times New Roman"/>
          <w:sz w:val="24"/>
          <w:szCs w:val="24"/>
          <w:lang w:val="en-US"/>
        </w:rPr>
      </w:pPr>
    </w:p>
    <w:p w:rsidR="00F35E50" w:rsidRDefault="000B42F8" w:rsidP="00CB7BC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therefore modify the previous analysis, to allow for this possibility of changing the decision as information about the death toll unfolds.</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w:t>
      </w:r>
      <w:r w:rsidR="00CB7BCC">
        <w:rPr>
          <w:rFonts w:ascii="Times New Roman" w:hAnsi="Times New Roman" w:cs="Times New Roman"/>
          <w:sz w:val="24"/>
          <w:szCs w:val="24"/>
          <w:lang w:val="en-US"/>
        </w:rPr>
        <w:t xml:space="preserve">Blakely et al (2020) </w:t>
      </w:r>
      <w:r w:rsidR="00A403CB">
        <w:rPr>
          <w:rFonts w:ascii="Times New Roman" w:hAnsi="Times New Roman" w:cs="Times New Roman"/>
          <w:sz w:val="24"/>
          <w:szCs w:val="24"/>
          <w:lang w:val="en-US"/>
        </w:rPr>
        <w:t>provide a range of possible deaths from mitigation of 6,500 to 30,600 along with de</w:t>
      </w:r>
      <w:r w:rsidR="00290C98">
        <w:rPr>
          <w:rFonts w:ascii="Times New Roman" w:hAnsi="Times New Roman" w:cs="Times New Roman"/>
          <w:sz w:val="24"/>
          <w:szCs w:val="24"/>
          <w:lang w:val="en-US"/>
        </w:rPr>
        <w:t>aths of 500 if lockdown succeeded</w:t>
      </w:r>
      <w:r w:rsidR="00C12766">
        <w:rPr>
          <w:rFonts w:ascii="Times New Roman" w:hAnsi="Times New Roman" w:cs="Times New Roman"/>
          <w:sz w:val="24"/>
          <w:szCs w:val="24"/>
          <w:lang w:val="en-US"/>
        </w:rPr>
        <w:t xml:space="preserve">.  </w:t>
      </w:r>
      <w:r w:rsidR="00D520CC">
        <w:rPr>
          <w:rFonts w:ascii="Times New Roman" w:hAnsi="Times New Roman" w:cs="Times New Roman"/>
          <w:sz w:val="24"/>
          <w:szCs w:val="24"/>
          <w:lang w:val="en-US"/>
        </w:rPr>
        <w:t xml:space="preserve">I </w:t>
      </w:r>
      <w:r>
        <w:rPr>
          <w:rFonts w:ascii="Times New Roman" w:hAnsi="Times New Roman" w:cs="Times New Roman"/>
          <w:sz w:val="24"/>
          <w:szCs w:val="24"/>
          <w:lang w:val="en-US"/>
        </w:rPr>
        <w:t>adopt these numbers</w:t>
      </w:r>
      <w:r w:rsidR="00983740">
        <w:rPr>
          <w:rFonts w:ascii="Times New Roman" w:hAnsi="Times New Roman" w:cs="Times New Roman"/>
          <w:sz w:val="24"/>
          <w:szCs w:val="24"/>
          <w:lang w:val="en-US"/>
        </w:rPr>
        <w:t xml:space="preserve">.  </w:t>
      </w:r>
      <w:r w:rsidR="00B61F7E">
        <w:rPr>
          <w:rFonts w:ascii="Times New Roman" w:hAnsi="Times New Roman" w:cs="Times New Roman"/>
          <w:sz w:val="24"/>
          <w:szCs w:val="24"/>
          <w:lang w:val="en-US"/>
        </w:rPr>
        <w:t xml:space="preserve">I also assume </w:t>
      </w:r>
      <w:r w:rsidR="00983740">
        <w:rPr>
          <w:rFonts w:ascii="Times New Roman" w:hAnsi="Times New Roman" w:cs="Times New Roman"/>
          <w:sz w:val="24"/>
          <w:szCs w:val="24"/>
          <w:lang w:val="en-US"/>
        </w:rPr>
        <w:t xml:space="preserve">that </w:t>
      </w:r>
      <w:r w:rsidR="00D520CC">
        <w:rPr>
          <w:rFonts w:ascii="Times New Roman" w:hAnsi="Times New Roman" w:cs="Times New Roman"/>
          <w:sz w:val="24"/>
          <w:szCs w:val="24"/>
          <w:lang w:val="en-US"/>
        </w:rPr>
        <w:t xml:space="preserve">the initial decision of 23 March is reconsidered after one month, </w:t>
      </w:r>
      <w:r w:rsidR="00047EBF">
        <w:rPr>
          <w:rFonts w:ascii="Times New Roman" w:hAnsi="Times New Roman" w:cs="Times New Roman"/>
          <w:sz w:val="24"/>
          <w:szCs w:val="24"/>
          <w:lang w:val="en-US"/>
        </w:rPr>
        <w:t xml:space="preserve">at which point the death toll </w:t>
      </w:r>
      <w:r w:rsidR="00C50CD0">
        <w:rPr>
          <w:rFonts w:ascii="Times New Roman" w:hAnsi="Times New Roman" w:cs="Times New Roman"/>
          <w:sz w:val="24"/>
          <w:szCs w:val="24"/>
          <w:lang w:val="en-US"/>
        </w:rPr>
        <w:t xml:space="preserve">outcome </w:t>
      </w:r>
      <w:r w:rsidR="00047EBF">
        <w:rPr>
          <w:rFonts w:ascii="Times New Roman" w:hAnsi="Times New Roman" w:cs="Times New Roman"/>
          <w:sz w:val="24"/>
          <w:szCs w:val="24"/>
          <w:lang w:val="en-US"/>
        </w:rPr>
        <w:t xml:space="preserve">from mitigation </w:t>
      </w:r>
      <w:r w:rsidR="00976749">
        <w:rPr>
          <w:rFonts w:ascii="Times New Roman" w:hAnsi="Times New Roman" w:cs="Times New Roman"/>
          <w:sz w:val="24"/>
          <w:szCs w:val="24"/>
          <w:lang w:val="en-US"/>
        </w:rPr>
        <w:t xml:space="preserve">throughout </w:t>
      </w:r>
      <w:r w:rsidR="00047EBF">
        <w:rPr>
          <w:rFonts w:ascii="Times New Roman" w:hAnsi="Times New Roman" w:cs="Times New Roman"/>
          <w:sz w:val="24"/>
          <w:szCs w:val="24"/>
          <w:lang w:val="en-US"/>
        </w:rPr>
        <w:t xml:space="preserve">is then </w:t>
      </w:r>
      <w:r w:rsidR="00976749">
        <w:rPr>
          <w:rFonts w:ascii="Times New Roman" w:hAnsi="Times New Roman" w:cs="Times New Roman"/>
          <w:sz w:val="24"/>
          <w:szCs w:val="24"/>
          <w:lang w:val="en-US"/>
        </w:rPr>
        <w:t>predictable</w:t>
      </w:r>
      <w:r w:rsidR="004E10F4">
        <w:rPr>
          <w:rFonts w:ascii="Times New Roman" w:hAnsi="Times New Roman" w:cs="Times New Roman"/>
          <w:sz w:val="24"/>
          <w:szCs w:val="24"/>
          <w:lang w:val="en-US"/>
        </w:rPr>
        <w:t>,</w:t>
      </w:r>
      <w:r w:rsidR="00047EBF">
        <w:rPr>
          <w:rFonts w:ascii="Times New Roman" w:hAnsi="Times New Roman" w:cs="Times New Roman"/>
          <w:sz w:val="24"/>
          <w:szCs w:val="24"/>
          <w:lang w:val="en-US"/>
        </w:rPr>
        <w:t xml:space="preserve"> </w:t>
      </w:r>
      <w:r w:rsidR="00D520CC">
        <w:rPr>
          <w:rFonts w:ascii="Times New Roman" w:hAnsi="Times New Roman" w:cs="Times New Roman"/>
          <w:sz w:val="24"/>
          <w:szCs w:val="24"/>
          <w:lang w:val="en-US"/>
        </w:rPr>
        <w:t xml:space="preserve">that </w:t>
      </w:r>
      <w:r w:rsidR="00130F6D">
        <w:rPr>
          <w:rFonts w:ascii="Times New Roman" w:hAnsi="Times New Roman" w:cs="Times New Roman"/>
          <w:sz w:val="24"/>
          <w:szCs w:val="24"/>
          <w:lang w:val="en-US"/>
        </w:rPr>
        <w:t xml:space="preserve">switching from lockdown to mitigation at this point </w:t>
      </w:r>
      <w:r w:rsidR="00D520CC">
        <w:rPr>
          <w:rFonts w:ascii="Times New Roman" w:hAnsi="Times New Roman" w:cs="Times New Roman"/>
          <w:sz w:val="24"/>
          <w:szCs w:val="24"/>
          <w:lang w:val="en-US"/>
        </w:rPr>
        <w:t>halves the GDP losses from the lockdown</w:t>
      </w:r>
      <w:r w:rsidR="00F43291">
        <w:rPr>
          <w:rFonts w:ascii="Times New Roman" w:hAnsi="Times New Roman" w:cs="Times New Roman"/>
          <w:sz w:val="24"/>
          <w:szCs w:val="24"/>
          <w:lang w:val="en-US"/>
        </w:rPr>
        <w:t xml:space="preserve"> ($27b)</w:t>
      </w:r>
      <w:r w:rsidR="00983740">
        <w:rPr>
          <w:rFonts w:ascii="Times New Roman" w:hAnsi="Times New Roman" w:cs="Times New Roman"/>
          <w:sz w:val="24"/>
          <w:szCs w:val="24"/>
          <w:lang w:val="en-US"/>
        </w:rPr>
        <w:t xml:space="preserve">, that </w:t>
      </w:r>
      <w:r w:rsidR="00047EBF">
        <w:rPr>
          <w:rFonts w:ascii="Times New Roman" w:hAnsi="Times New Roman" w:cs="Times New Roman"/>
          <w:sz w:val="24"/>
          <w:szCs w:val="24"/>
          <w:lang w:val="en-US"/>
        </w:rPr>
        <w:t xml:space="preserve">doing so does not </w:t>
      </w:r>
      <w:r w:rsidR="00130F6D">
        <w:rPr>
          <w:rFonts w:ascii="Times New Roman" w:hAnsi="Times New Roman" w:cs="Times New Roman"/>
          <w:sz w:val="24"/>
          <w:szCs w:val="24"/>
          <w:lang w:val="en-US"/>
        </w:rPr>
        <w:t xml:space="preserve">lessen </w:t>
      </w:r>
      <w:r w:rsidR="00047EBF">
        <w:rPr>
          <w:rFonts w:ascii="Times New Roman" w:hAnsi="Times New Roman" w:cs="Times New Roman"/>
          <w:sz w:val="24"/>
          <w:szCs w:val="24"/>
          <w:lang w:val="en-US"/>
        </w:rPr>
        <w:t xml:space="preserve">the death toll </w:t>
      </w:r>
      <w:r w:rsidR="00976749">
        <w:rPr>
          <w:rFonts w:ascii="Times New Roman" w:hAnsi="Times New Roman" w:cs="Times New Roman"/>
          <w:sz w:val="24"/>
          <w:szCs w:val="24"/>
          <w:lang w:val="en-US"/>
        </w:rPr>
        <w:t xml:space="preserve">incurred </w:t>
      </w:r>
      <w:r w:rsidR="00047EBF">
        <w:rPr>
          <w:rFonts w:ascii="Times New Roman" w:hAnsi="Times New Roman" w:cs="Times New Roman"/>
          <w:sz w:val="24"/>
          <w:szCs w:val="24"/>
          <w:lang w:val="en-US"/>
        </w:rPr>
        <w:t xml:space="preserve">from </w:t>
      </w:r>
      <w:r w:rsidR="00144DAC">
        <w:rPr>
          <w:rFonts w:ascii="Times New Roman" w:hAnsi="Times New Roman" w:cs="Times New Roman"/>
          <w:sz w:val="24"/>
          <w:szCs w:val="24"/>
          <w:lang w:val="en-US"/>
        </w:rPr>
        <w:t xml:space="preserve">adopting </w:t>
      </w:r>
      <w:r w:rsidR="00047EBF">
        <w:rPr>
          <w:rFonts w:ascii="Times New Roman" w:hAnsi="Times New Roman" w:cs="Times New Roman"/>
          <w:sz w:val="24"/>
          <w:szCs w:val="24"/>
          <w:lang w:val="en-US"/>
        </w:rPr>
        <w:t xml:space="preserve">mitigation, that </w:t>
      </w:r>
      <w:r w:rsidR="00983740">
        <w:rPr>
          <w:rFonts w:ascii="Times New Roman" w:hAnsi="Times New Roman" w:cs="Times New Roman"/>
          <w:sz w:val="24"/>
          <w:szCs w:val="24"/>
          <w:lang w:val="en-US"/>
        </w:rPr>
        <w:t xml:space="preserve">switching </w:t>
      </w:r>
      <w:r w:rsidR="00130F6D">
        <w:rPr>
          <w:rFonts w:ascii="Times New Roman" w:hAnsi="Times New Roman" w:cs="Times New Roman"/>
          <w:sz w:val="24"/>
          <w:szCs w:val="24"/>
          <w:lang w:val="en-US"/>
        </w:rPr>
        <w:t xml:space="preserve">from mitigation to </w:t>
      </w:r>
      <w:r w:rsidR="00983740">
        <w:rPr>
          <w:rFonts w:ascii="Times New Roman" w:hAnsi="Times New Roman" w:cs="Times New Roman"/>
          <w:sz w:val="24"/>
          <w:szCs w:val="24"/>
          <w:lang w:val="en-US"/>
        </w:rPr>
        <w:t>lockdown at this point does not reduce the GDP losses</w:t>
      </w:r>
      <w:r w:rsidR="00130F6D">
        <w:rPr>
          <w:rFonts w:ascii="Times New Roman" w:hAnsi="Times New Roman" w:cs="Times New Roman"/>
          <w:sz w:val="24"/>
          <w:szCs w:val="24"/>
          <w:lang w:val="en-US"/>
        </w:rPr>
        <w:t xml:space="preserve"> from the lockdown</w:t>
      </w:r>
      <w:r w:rsidR="00983740">
        <w:rPr>
          <w:rFonts w:ascii="Times New Roman" w:hAnsi="Times New Roman" w:cs="Times New Roman"/>
          <w:sz w:val="24"/>
          <w:szCs w:val="24"/>
          <w:lang w:val="en-US"/>
        </w:rPr>
        <w:t xml:space="preserve">, </w:t>
      </w:r>
      <w:r w:rsidR="00047EBF">
        <w:rPr>
          <w:rFonts w:ascii="Times New Roman" w:hAnsi="Times New Roman" w:cs="Times New Roman"/>
          <w:sz w:val="24"/>
          <w:szCs w:val="24"/>
          <w:lang w:val="en-US"/>
        </w:rPr>
        <w:t xml:space="preserve">and that </w:t>
      </w:r>
      <w:r w:rsidR="00144DAC">
        <w:rPr>
          <w:rFonts w:ascii="Times New Roman" w:hAnsi="Times New Roman" w:cs="Times New Roman"/>
          <w:sz w:val="24"/>
          <w:szCs w:val="24"/>
          <w:lang w:val="en-US"/>
        </w:rPr>
        <w:t xml:space="preserve">doing so </w:t>
      </w:r>
      <w:r w:rsidR="00047EBF">
        <w:rPr>
          <w:rFonts w:ascii="Times New Roman" w:hAnsi="Times New Roman" w:cs="Times New Roman"/>
          <w:sz w:val="24"/>
          <w:szCs w:val="24"/>
          <w:lang w:val="en-US"/>
        </w:rPr>
        <w:t xml:space="preserve">halves the death toll.  The analysis appears </w:t>
      </w:r>
      <w:r w:rsidR="00F35E50">
        <w:rPr>
          <w:rFonts w:ascii="Times New Roman" w:hAnsi="Times New Roman" w:cs="Times New Roman"/>
          <w:sz w:val="24"/>
          <w:szCs w:val="24"/>
          <w:lang w:val="en-US"/>
        </w:rPr>
        <w:t xml:space="preserve">in Table 3 </w:t>
      </w:r>
      <w:r w:rsidR="00047EBF">
        <w:rPr>
          <w:rFonts w:ascii="Times New Roman" w:hAnsi="Times New Roman" w:cs="Times New Roman"/>
          <w:sz w:val="24"/>
          <w:szCs w:val="24"/>
          <w:lang w:val="en-US"/>
        </w:rPr>
        <w:t>below</w:t>
      </w:r>
      <w:r w:rsidR="00EF3F09">
        <w:rPr>
          <w:rFonts w:ascii="Times New Roman" w:hAnsi="Times New Roman" w:cs="Times New Roman"/>
          <w:sz w:val="24"/>
          <w:szCs w:val="24"/>
          <w:lang w:val="en-US"/>
        </w:rPr>
        <w:t>, with the first column showing the initial decision, the second column the deaths if mitigation were pursued</w:t>
      </w:r>
      <w:r w:rsidR="00285C26">
        <w:rPr>
          <w:rFonts w:ascii="Times New Roman" w:hAnsi="Times New Roman" w:cs="Times New Roman"/>
          <w:sz w:val="24"/>
          <w:szCs w:val="24"/>
          <w:lang w:val="en-US"/>
        </w:rPr>
        <w:t xml:space="preserve"> throughout</w:t>
      </w:r>
      <w:r w:rsidR="00EF3F09">
        <w:rPr>
          <w:rFonts w:ascii="Times New Roman" w:hAnsi="Times New Roman" w:cs="Times New Roman"/>
          <w:sz w:val="24"/>
          <w:szCs w:val="24"/>
          <w:lang w:val="en-US"/>
        </w:rPr>
        <w:t xml:space="preserve">, the third column the decision after one month, the fourth column the </w:t>
      </w:r>
      <w:r w:rsidR="008A6113">
        <w:rPr>
          <w:rFonts w:ascii="Times New Roman" w:hAnsi="Times New Roman" w:cs="Times New Roman"/>
          <w:sz w:val="24"/>
          <w:szCs w:val="24"/>
          <w:lang w:val="en-US"/>
        </w:rPr>
        <w:t xml:space="preserve">cost from doing so (deaths scaled up by four to QALYS and multiplied </w:t>
      </w:r>
      <w:r w:rsidR="008A6113">
        <w:rPr>
          <w:rFonts w:ascii="Times New Roman" w:hAnsi="Times New Roman" w:cs="Times New Roman"/>
          <w:sz w:val="24"/>
          <w:szCs w:val="24"/>
          <w:lang w:val="en-US"/>
        </w:rPr>
        <w:lastRenderedPageBreak/>
        <w:t xml:space="preserve">by </w:t>
      </w:r>
      <w:r w:rsidR="00285C26">
        <w:rPr>
          <w:rFonts w:ascii="Times New Roman" w:hAnsi="Times New Roman" w:cs="Times New Roman"/>
          <w:sz w:val="24"/>
          <w:szCs w:val="24"/>
          <w:lang w:val="en-US"/>
        </w:rPr>
        <w:t xml:space="preserve">the value per QALY of </w:t>
      </w:r>
      <w:r w:rsidR="008A6113">
        <w:rPr>
          <w:rFonts w:ascii="Times New Roman" w:hAnsi="Times New Roman" w:cs="Times New Roman"/>
          <w:sz w:val="24"/>
          <w:szCs w:val="24"/>
          <w:lang w:val="en-US"/>
        </w:rPr>
        <w:t xml:space="preserve">$62,000, plus GDP losses relative to mitigation throughout), and </w:t>
      </w:r>
      <w:r w:rsidR="006202A8">
        <w:rPr>
          <w:rFonts w:ascii="Times New Roman" w:hAnsi="Times New Roman" w:cs="Times New Roman"/>
          <w:sz w:val="24"/>
          <w:szCs w:val="24"/>
          <w:lang w:val="en-US"/>
        </w:rPr>
        <w:t>the fifth column the optimal choice in one month</w:t>
      </w:r>
      <w:r w:rsidR="00047EBF">
        <w:rPr>
          <w:rFonts w:ascii="Times New Roman" w:hAnsi="Times New Roman" w:cs="Times New Roman"/>
          <w:sz w:val="24"/>
          <w:szCs w:val="24"/>
          <w:lang w:val="en-US"/>
        </w:rPr>
        <w:t>.</w:t>
      </w:r>
      <w:r w:rsidR="006202A8">
        <w:rPr>
          <w:rFonts w:ascii="Times New Roman" w:hAnsi="Times New Roman" w:cs="Times New Roman"/>
          <w:sz w:val="24"/>
          <w:szCs w:val="24"/>
          <w:lang w:val="en-US"/>
        </w:rPr>
        <w:t xml:space="preserve">  </w:t>
      </w:r>
    </w:p>
    <w:p w:rsidR="00F35E50" w:rsidRDefault="00F35E50" w:rsidP="00CB7BCC">
      <w:pPr>
        <w:spacing w:after="0" w:line="360" w:lineRule="auto"/>
        <w:jc w:val="both"/>
        <w:rPr>
          <w:rFonts w:ascii="Times New Roman" w:hAnsi="Times New Roman" w:cs="Times New Roman"/>
          <w:sz w:val="24"/>
          <w:szCs w:val="24"/>
          <w:lang w:val="en-US"/>
        </w:rPr>
      </w:pPr>
    </w:p>
    <w:p w:rsidR="00047EBF" w:rsidRDefault="006202A8" w:rsidP="00CB7BC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shown in the </w:t>
      </w:r>
      <w:r w:rsidR="000B42F8">
        <w:rPr>
          <w:rFonts w:ascii="Times New Roman" w:hAnsi="Times New Roman" w:cs="Times New Roman"/>
          <w:sz w:val="24"/>
          <w:szCs w:val="24"/>
          <w:lang w:val="en-US"/>
        </w:rPr>
        <w:t xml:space="preserve">first section of the </w:t>
      </w:r>
      <w:r>
        <w:rPr>
          <w:rFonts w:ascii="Times New Roman" w:hAnsi="Times New Roman" w:cs="Times New Roman"/>
          <w:sz w:val="24"/>
          <w:szCs w:val="24"/>
          <w:lang w:val="en-US"/>
        </w:rPr>
        <w:t xml:space="preserve">table, if lockdown is initially adopted, the optimal choice in one month is always to mitigate, whether deaths from mitigating throughout are low or high.  The costs here </w:t>
      </w:r>
      <w:r w:rsidR="002770DB">
        <w:rPr>
          <w:rFonts w:ascii="Times New Roman" w:hAnsi="Times New Roman" w:cs="Times New Roman"/>
          <w:sz w:val="24"/>
          <w:szCs w:val="24"/>
          <w:lang w:val="en-US"/>
        </w:rPr>
        <w:t xml:space="preserve">range from </w:t>
      </w:r>
      <w:r>
        <w:rPr>
          <w:rFonts w:ascii="Times New Roman" w:hAnsi="Times New Roman" w:cs="Times New Roman"/>
          <w:sz w:val="24"/>
          <w:szCs w:val="24"/>
          <w:lang w:val="en-US"/>
        </w:rPr>
        <w:t>$</w:t>
      </w:r>
      <w:r w:rsidR="00C50CD0">
        <w:rPr>
          <w:rFonts w:ascii="Times New Roman" w:hAnsi="Times New Roman" w:cs="Times New Roman"/>
          <w:sz w:val="24"/>
          <w:szCs w:val="24"/>
          <w:lang w:val="en-US"/>
        </w:rPr>
        <w:t>15.1b if deaths are low</w:t>
      </w:r>
      <w:r>
        <w:rPr>
          <w:rFonts w:ascii="Times New Roman" w:hAnsi="Times New Roman" w:cs="Times New Roman"/>
          <w:sz w:val="24"/>
          <w:szCs w:val="24"/>
          <w:lang w:val="en-US"/>
        </w:rPr>
        <w:t xml:space="preserve"> </w:t>
      </w:r>
      <w:r w:rsidR="002770DB">
        <w:rPr>
          <w:rFonts w:ascii="Times New Roman" w:hAnsi="Times New Roman" w:cs="Times New Roman"/>
          <w:sz w:val="24"/>
          <w:szCs w:val="24"/>
          <w:lang w:val="en-US"/>
        </w:rPr>
        <w:t xml:space="preserve">to </w:t>
      </w:r>
      <w:r>
        <w:rPr>
          <w:rFonts w:ascii="Times New Roman" w:hAnsi="Times New Roman" w:cs="Times New Roman"/>
          <w:sz w:val="24"/>
          <w:szCs w:val="24"/>
          <w:lang w:val="en-US"/>
        </w:rPr>
        <w:t>$</w:t>
      </w:r>
      <w:r w:rsidR="00C50CD0">
        <w:rPr>
          <w:rFonts w:ascii="Times New Roman" w:hAnsi="Times New Roman" w:cs="Times New Roman"/>
          <w:sz w:val="24"/>
          <w:szCs w:val="24"/>
          <w:lang w:val="en-US"/>
        </w:rPr>
        <w:t>21.1b if deaths are high</w:t>
      </w:r>
      <w:r w:rsidR="00F35E50">
        <w:rPr>
          <w:rFonts w:ascii="Times New Roman" w:hAnsi="Times New Roman" w:cs="Times New Roman"/>
          <w:sz w:val="24"/>
          <w:szCs w:val="24"/>
          <w:lang w:val="en-US"/>
        </w:rPr>
        <w:t xml:space="preserve">.  Similarly, </w:t>
      </w:r>
      <w:r w:rsidR="000B42F8">
        <w:rPr>
          <w:rFonts w:ascii="Times New Roman" w:hAnsi="Times New Roman" w:cs="Times New Roman"/>
          <w:sz w:val="24"/>
          <w:szCs w:val="24"/>
          <w:lang w:val="en-US"/>
        </w:rPr>
        <w:t xml:space="preserve">as shown in the second section of the table, </w:t>
      </w:r>
      <w:r w:rsidR="00F35E50">
        <w:rPr>
          <w:rFonts w:ascii="Times New Roman" w:hAnsi="Times New Roman" w:cs="Times New Roman"/>
          <w:sz w:val="24"/>
          <w:szCs w:val="24"/>
          <w:lang w:val="en-US"/>
        </w:rPr>
        <w:t xml:space="preserve">if mitigation is initially adopted, the optimal choice in one month is </w:t>
      </w:r>
      <w:r w:rsidR="00285C26">
        <w:rPr>
          <w:rFonts w:ascii="Times New Roman" w:hAnsi="Times New Roman" w:cs="Times New Roman"/>
          <w:sz w:val="24"/>
          <w:szCs w:val="24"/>
          <w:lang w:val="en-US"/>
        </w:rPr>
        <w:t>to continue doing so</w:t>
      </w:r>
      <w:r w:rsidR="00F35E50">
        <w:rPr>
          <w:rFonts w:ascii="Times New Roman" w:hAnsi="Times New Roman" w:cs="Times New Roman"/>
          <w:sz w:val="24"/>
          <w:szCs w:val="24"/>
          <w:lang w:val="en-US"/>
        </w:rPr>
        <w:t xml:space="preserve">, whether deaths from mitigating throughout are low or high.  The costs here </w:t>
      </w:r>
      <w:r w:rsidR="002770DB">
        <w:rPr>
          <w:rFonts w:ascii="Times New Roman" w:hAnsi="Times New Roman" w:cs="Times New Roman"/>
          <w:sz w:val="24"/>
          <w:szCs w:val="24"/>
          <w:lang w:val="en-US"/>
        </w:rPr>
        <w:t xml:space="preserve">range from </w:t>
      </w:r>
      <w:r w:rsidR="00976749">
        <w:rPr>
          <w:rFonts w:ascii="Times New Roman" w:hAnsi="Times New Roman" w:cs="Times New Roman"/>
          <w:sz w:val="24"/>
          <w:szCs w:val="24"/>
          <w:lang w:val="en-US"/>
        </w:rPr>
        <w:t>$1.6b</w:t>
      </w:r>
      <w:r w:rsidR="00C50CD0">
        <w:rPr>
          <w:rFonts w:ascii="Times New Roman" w:hAnsi="Times New Roman" w:cs="Times New Roman"/>
          <w:sz w:val="24"/>
          <w:szCs w:val="24"/>
          <w:lang w:val="en-US"/>
        </w:rPr>
        <w:t xml:space="preserve"> if deaths are low</w:t>
      </w:r>
      <w:r w:rsidR="00F35E50">
        <w:rPr>
          <w:rFonts w:ascii="Times New Roman" w:hAnsi="Times New Roman" w:cs="Times New Roman"/>
          <w:sz w:val="24"/>
          <w:szCs w:val="24"/>
          <w:lang w:val="en-US"/>
        </w:rPr>
        <w:t xml:space="preserve"> </w:t>
      </w:r>
      <w:r w:rsidR="002770DB">
        <w:rPr>
          <w:rFonts w:ascii="Times New Roman" w:hAnsi="Times New Roman" w:cs="Times New Roman"/>
          <w:sz w:val="24"/>
          <w:szCs w:val="24"/>
          <w:lang w:val="en-US"/>
        </w:rPr>
        <w:t xml:space="preserve">to </w:t>
      </w:r>
      <w:r w:rsidR="00976749">
        <w:rPr>
          <w:rFonts w:ascii="Times New Roman" w:hAnsi="Times New Roman" w:cs="Times New Roman"/>
          <w:sz w:val="24"/>
          <w:szCs w:val="24"/>
          <w:lang w:val="en-US"/>
        </w:rPr>
        <w:t>$7.6b</w:t>
      </w:r>
      <w:r w:rsidR="00C50CD0">
        <w:rPr>
          <w:rFonts w:ascii="Times New Roman" w:hAnsi="Times New Roman" w:cs="Times New Roman"/>
          <w:sz w:val="24"/>
          <w:szCs w:val="24"/>
          <w:lang w:val="en-US"/>
        </w:rPr>
        <w:t xml:space="preserve"> if deaths are high</w:t>
      </w:r>
      <w:r w:rsidR="00976749">
        <w:rPr>
          <w:rFonts w:ascii="Times New Roman" w:hAnsi="Times New Roman" w:cs="Times New Roman"/>
          <w:sz w:val="24"/>
          <w:szCs w:val="24"/>
          <w:lang w:val="en-US"/>
        </w:rPr>
        <w:t>.  So, the optimal decision now is to mitigate, because it</w:t>
      </w:r>
      <w:r w:rsidR="00C50CD0">
        <w:rPr>
          <w:rFonts w:ascii="Times New Roman" w:hAnsi="Times New Roman" w:cs="Times New Roman"/>
          <w:sz w:val="24"/>
          <w:szCs w:val="24"/>
          <w:lang w:val="en-US"/>
        </w:rPr>
        <w:t>s</w:t>
      </w:r>
      <w:r w:rsidR="00976749">
        <w:rPr>
          <w:rFonts w:ascii="Times New Roman" w:hAnsi="Times New Roman" w:cs="Times New Roman"/>
          <w:sz w:val="24"/>
          <w:szCs w:val="24"/>
          <w:lang w:val="en-US"/>
        </w:rPr>
        <w:t xml:space="preserve"> outcomes ($1.6b </w:t>
      </w:r>
      <w:r w:rsidR="002770DB">
        <w:rPr>
          <w:rFonts w:ascii="Times New Roman" w:hAnsi="Times New Roman" w:cs="Times New Roman"/>
          <w:sz w:val="24"/>
          <w:szCs w:val="24"/>
          <w:lang w:val="en-US"/>
        </w:rPr>
        <w:t xml:space="preserve">to </w:t>
      </w:r>
      <w:r w:rsidR="00976749">
        <w:rPr>
          <w:rFonts w:ascii="Times New Roman" w:hAnsi="Times New Roman" w:cs="Times New Roman"/>
          <w:sz w:val="24"/>
          <w:szCs w:val="24"/>
          <w:lang w:val="en-US"/>
        </w:rPr>
        <w:t xml:space="preserve">$7.6b) are superior to their counterparts under lockdown now ($15.1b </w:t>
      </w:r>
      <w:r w:rsidR="002770DB">
        <w:rPr>
          <w:rFonts w:ascii="Times New Roman" w:hAnsi="Times New Roman" w:cs="Times New Roman"/>
          <w:sz w:val="24"/>
          <w:szCs w:val="24"/>
          <w:lang w:val="en-US"/>
        </w:rPr>
        <w:t xml:space="preserve">to </w:t>
      </w:r>
      <w:r w:rsidR="00976749">
        <w:rPr>
          <w:rFonts w:ascii="Times New Roman" w:hAnsi="Times New Roman" w:cs="Times New Roman"/>
          <w:sz w:val="24"/>
          <w:szCs w:val="24"/>
          <w:lang w:val="en-US"/>
        </w:rPr>
        <w:t>$21.1b).</w:t>
      </w:r>
      <w:r w:rsidR="003C2B12">
        <w:rPr>
          <w:rFonts w:ascii="Times New Roman" w:hAnsi="Times New Roman" w:cs="Times New Roman"/>
          <w:sz w:val="24"/>
          <w:szCs w:val="24"/>
          <w:lang w:val="en-US"/>
        </w:rPr>
        <w:t xml:space="preserve">  </w:t>
      </w:r>
      <w:r w:rsidR="000B42F8">
        <w:rPr>
          <w:rFonts w:ascii="Times New Roman" w:hAnsi="Times New Roman" w:cs="Times New Roman"/>
          <w:sz w:val="24"/>
          <w:szCs w:val="24"/>
          <w:lang w:val="en-US"/>
        </w:rPr>
        <w:t xml:space="preserve">Furthermore, </w:t>
      </w:r>
      <w:r w:rsidR="003C2B12">
        <w:rPr>
          <w:rFonts w:ascii="Times New Roman" w:hAnsi="Times New Roman" w:cs="Times New Roman"/>
          <w:sz w:val="24"/>
          <w:szCs w:val="24"/>
          <w:lang w:val="en-US"/>
        </w:rPr>
        <w:t xml:space="preserve">mitigation </w:t>
      </w:r>
      <w:r w:rsidR="00C50CD0">
        <w:rPr>
          <w:rFonts w:ascii="Times New Roman" w:hAnsi="Times New Roman" w:cs="Times New Roman"/>
          <w:sz w:val="24"/>
          <w:szCs w:val="24"/>
          <w:lang w:val="en-US"/>
        </w:rPr>
        <w:t xml:space="preserve">now </w:t>
      </w:r>
      <w:r w:rsidR="003C2B12">
        <w:rPr>
          <w:rFonts w:ascii="Times New Roman" w:hAnsi="Times New Roman" w:cs="Times New Roman"/>
          <w:sz w:val="24"/>
          <w:szCs w:val="24"/>
          <w:lang w:val="en-US"/>
        </w:rPr>
        <w:t>is the optimal choice under uncertainty (unknown probabilities) as well as risk (probabilities known).</w:t>
      </w:r>
      <w:r w:rsidR="00C50CD0">
        <w:rPr>
          <w:rFonts w:ascii="Times New Roman" w:hAnsi="Times New Roman" w:cs="Times New Roman"/>
          <w:sz w:val="24"/>
          <w:szCs w:val="24"/>
          <w:lang w:val="en-US"/>
        </w:rPr>
        <w:t xml:space="preserve">  In </w:t>
      </w:r>
      <w:r w:rsidR="000B42F8">
        <w:rPr>
          <w:rFonts w:ascii="Times New Roman" w:hAnsi="Times New Roman" w:cs="Times New Roman"/>
          <w:sz w:val="24"/>
          <w:szCs w:val="24"/>
          <w:lang w:val="en-US"/>
        </w:rPr>
        <w:t>addition, not only is mitigation initially the optimal choice but so too is it at the reassessment point in one month.</w:t>
      </w:r>
    </w:p>
    <w:p w:rsidR="000B42F8" w:rsidRDefault="000B42F8" w:rsidP="00CB7BCC">
      <w:pPr>
        <w:spacing w:after="0" w:line="360" w:lineRule="auto"/>
        <w:jc w:val="both"/>
        <w:rPr>
          <w:rFonts w:ascii="Times New Roman" w:hAnsi="Times New Roman" w:cs="Times New Roman"/>
          <w:sz w:val="24"/>
          <w:szCs w:val="24"/>
          <w:lang w:val="en-US"/>
        </w:rPr>
      </w:pPr>
    </w:p>
    <w:p w:rsidR="006202A8" w:rsidRDefault="006202A8" w:rsidP="009767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3: Optimal Decisions</w:t>
      </w:r>
    </w:p>
    <w:p w:rsidR="006202A8" w:rsidRDefault="006202A8" w:rsidP="00CB7BC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047EBF" w:rsidRDefault="00047EBF" w:rsidP="00976749">
      <w:pPr>
        <w:tabs>
          <w:tab w:val="left" w:pos="1701"/>
          <w:tab w:val="left" w:pos="2694"/>
          <w:tab w:val="left" w:pos="4253"/>
          <w:tab w:val="left" w:pos="822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Initial Decision</w:t>
      </w:r>
      <w:r>
        <w:rPr>
          <w:rFonts w:ascii="Times New Roman" w:hAnsi="Times New Roman" w:cs="Times New Roman"/>
          <w:sz w:val="24"/>
          <w:szCs w:val="24"/>
          <w:lang w:val="en-US"/>
        </w:rPr>
        <w:tab/>
        <w:t>D</w:t>
      </w:r>
      <w:r w:rsidR="00F43291">
        <w:rPr>
          <w:rFonts w:ascii="Times New Roman" w:hAnsi="Times New Roman" w:cs="Times New Roman"/>
          <w:sz w:val="24"/>
          <w:szCs w:val="24"/>
          <w:lang w:val="en-US"/>
        </w:rPr>
        <w:t>eaths</w:t>
      </w:r>
      <w:r w:rsidR="00F43291">
        <w:rPr>
          <w:rFonts w:ascii="Times New Roman" w:hAnsi="Times New Roman" w:cs="Times New Roman"/>
          <w:sz w:val="24"/>
          <w:szCs w:val="24"/>
          <w:lang w:val="en-US"/>
        </w:rPr>
        <w:tab/>
        <w:t>New Decision</w:t>
      </w:r>
      <w:r w:rsidR="00F43291">
        <w:rPr>
          <w:rFonts w:ascii="Times New Roman" w:hAnsi="Times New Roman" w:cs="Times New Roman"/>
          <w:sz w:val="24"/>
          <w:szCs w:val="24"/>
          <w:lang w:val="en-US"/>
        </w:rPr>
        <w:tab/>
        <w:t>Cost</w:t>
      </w:r>
      <w:r w:rsidR="00F43291">
        <w:rPr>
          <w:rFonts w:ascii="Times New Roman" w:hAnsi="Times New Roman" w:cs="Times New Roman"/>
          <w:sz w:val="24"/>
          <w:szCs w:val="24"/>
          <w:lang w:val="en-US"/>
        </w:rPr>
        <w:tab/>
        <w:t>Choice</w:t>
      </w:r>
    </w:p>
    <w:p w:rsidR="00F43291" w:rsidRDefault="006202A8" w:rsidP="00F43291">
      <w:pPr>
        <w:tabs>
          <w:tab w:val="left" w:pos="1701"/>
          <w:tab w:val="left" w:pos="2835"/>
          <w:tab w:val="left" w:pos="453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F43291" w:rsidRDefault="00F43291" w:rsidP="00A601FE">
      <w:pPr>
        <w:tabs>
          <w:tab w:val="left" w:pos="1701"/>
          <w:tab w:val="left" w:pos="2694"/>
          <w:tab w:val="left" w:pos="4253"/>
          <w:tab w:val="left" w:pos="793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6,500</w:t>
      </w:r>
      <w:r>
        <w:rPr>
          <w:rFonts w:ascii="Times New Roman" w:hAnsi="Times New Roman" w:cs="Times New Roman"/>
          <w:sz w:val="24"/>
          <w:szCs w:val="24"/>
          <w:lang w:val="en-US"/>
        </w:rPr>
        <w:tab/>
        <w:t>Lockdown</w:t>
      </w:r>
      <w:r>
        <w:rPr>
          <w:rFonts w:ascii="Times New Roman" w:hAnsi="Times New Roman" w:cs="Times New Roman"/>
          <w:sz w:val="24"/>
          <w:szCs w:val="24"/>
          <w:lang w:val="en-US"/>
        </w:rPr>
        <w:tab/>
        <w:t>500*4*$62,000 + $27b = $27.1b</w:t>
      </w:r>
    </w:p>
    <w:p w:rsidR="00F43291" w:rsidRDefault="00F43291" w:rsidP="00A601FE">
      <w:pPr>
        <w:tabs>
          <w:tab w:val="left" w:pos="1701"/>
          <w:tab w:val="left" w:pos="2694"/>
          <w:tab w:val="left" w:pos="4253"/>
          <w:tab w:val="left" w:pos="808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6,500</w:t>
      </w:r>
      <w:r>
        <w:rPr>
          <w:rFonts w:ascii="Times New Roman" w:hAnsi="Times New Roman" w:cs="Times New Roman"/>
          <w:sz w:val="24"/>
          <w:szCs w:val="24"/>
          <w:lang w:val="en-US"/>
        </w:rPr>
        <w:tab/>
        <w:t>Mitigate</w:t>
      </w:r>
      <w:r>
        <w:rPr>
          <w:rFonts w:ascii="Times New Roman" w:hAnsi="Times New Roman" w:cs="Times New Roman"/>
          <w:sz w:val="24"/>
          <w:szCs w:val="24"/>
          <w:lang w:val="en-US"/>
        </w:rPr>
        <w:tab/>
        <w:t>6,500*4*$62,000 + $13.5b = $15.1b</w:t>
      </w:r>
      <w:r>
        <w:rPr>
          <w:rFonts w:ascii="Times New Roman" w:hAnsi="Times New Roman" w:cs="Times New Roman"/>
          <w:sz w:val="24"/>
          <w:szCs w:val="24"/>
          <w:lang w:val="en-US"/>
        </w:rPr>
        <w:tab/>
        <w:t>Mitig</w:t>
      </w:r>
      <w:r w:rsidR="00A601FE">
        <w:rPr>
          <w:rFonts w:ascii="Times New Roman" w:hAnsi="Times New Roman" w:cs="Times New Roman"/>
          <w:sz w:val="24"/>
          <w:szCs w:val="24"/>
          <w:lang w:val="en-US"/>
        </w:rPr>
        <w:t>ate</w:t>
      </w:r>
    </w:p>
    <w:p w:rsidR="00F43291" w:rsidRDefault="00487F74" w:rsidP="00F43291">
      <w:pPr>
        <w:tabs>
          <w:tab w:val="left" w:pos="1701"/>
          <w:tab w:val="left" w:pos="2694"/>
          <w:tab w:val="left" w:pos="4253"/>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Lockdown</w:t>
      </w:r>
    </w:p>
    <w:p w:rsidR="00F43291" w:rsidRDefault="00F43291" w:rsidP="00F43291">
      <w:pPr>
        <w:tabs>
          <w:tab w:val="left" w:pos="1701"/>
          <w:tab w:val="left" w:pos="2694"/>
          <w:tab w:val="left" w:pos="4253"/>
          <w:tab w:val="left" w:pos="793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30,600</w:t>
      </w:r>
      <w:r>
        <w:rPr>
          <w:rFonts w:ascii="Times New Roman" w:hAnsi="Times New Roman" w:cs="Times New Roman"/>
          <w:sz w:val="24"/>
          <w:szCs w:val="24"/>
          <w:lang w:val="en-US"/>
        </w:rPr>
        <w:tab/>
        <w:t>Lockdown</w:t>
      </w:r>
      <w:r>
        <w:rPr>
          <w:rFonts w:ascii="Times New Roman" w:hAnsi="Times New Roman" w:cs="Times New Roman"/>
          <w:sz w:val="24"/>
          <w:szCs w:val="24"/>
          <w:lang w:val="en-US"/>
        </w:rPr>
        <w:tab/>
        <w:t>500*4*$62,000 + $27b = $27.1b</w:t>
      </w:r>
    </w:p>
    <w:p w:rsidR="00F43291" w:rsidRDefault="00F43291" w:rsidP="005C2E09">
      <w:pPr>
        <w:tabs>
          <w:tab w:val="left" w:pos="1701"/>
          <w:tab w:val="left" w:pos="2694"/>
          <w:tab w:val="left" w:pos="4253"/>
          <w:tab w:val="left" w:pos="808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30,600</w:t>
      </w:r>
      <w:r>
        <w:rPr>
          <w:rFonts w:ascii="Times New Roman" w:hAnsi="Times New Roman" w:cs="Times New Roman"/>
          <w:sz w:val="24"/>
          <w:szCs w:val="24"/>
          <w:lang w:val="en-US"/>
        </w:rPr>
        <w:tab/>
        <w:t>Mitigate</w:t>
      </w:r>
      <w:r>
        <w:rPr>
          <w:rFonts w:ascii="Times New Roman" w:hAnsi="Times New Roman" w:cs="Times New Roman"/>
          <w:sz w:val="24"/>
          <w:szCs w:val="24"/>
          <w:lang w:val="en-US"/>
        </w:rPr>
        <w:tab/>
        <w:t>30,600*4*$62,000 + $13.5b = $21.1b</w:t>
      </w:r>
      <w:r>
        <w:rPr>
          <w:rFonts w:ascii="Times New Roman" w:hAnsi="Times New Roman" w:cs="Times New Roman"/>
          <w:sz w:val="24"/>
          <w:szCs w:val="24"/>
          <w:lang w:val="en-US"/>
        </w:rPr>
        <w:tab/>
        <w:t>Mitig</w:t>
      </w:r>
      <w:r w:rsidR="00A601FE">
        <w:rPr>
          <w:rFonts w:ascii="Times New Roman" w:hAnsi="Times New Roman" w:cs="Times New Roman"/>
          <w:sz w:val="24"/>
          <w:szCs w:val="24"/>
          <w:lang w:val="en-US"/>
        </w:rPr>
        <w:t>ate</w:t>
      </w:r>
    </w:p>
    <w:p w:rsidR="00F43291" w:rsidRDefault="005C2E09" w:rsidP="00F43291">
      <w:pPr>
        <w:tabs>
          <w:tab w:val="left" w:pos="1701"/>
          <w:tab w:val="left" w:pos="2694"/>
          <w:tab w:val="left" w:pos="4253"/>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F43291" w:rsidRDefault="00F43291" w:rsidP="00F43291">
      <w:pPr>
        <w:tabs>
          <w:tab w:val="left" w:pos="1701"/>
          <w:tab w:val="left" w:pos="2694"/>
          <w:tab w:val="left" w:pos="4253"/>
          <w:tab w:val="left" w:pos="793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6,500</w:t>
      </w:r>
      <w:r>
        <w:rPr>
          <w:rFonts w:ascii="Times New Roman" w:hAnsi="Times New Roman" w:cs="Times New Roman"/>
          <w:sz w:val="24"/>
          <w:szCs w:val="24"/>
          <w:lang w:val="en-US"/>
        </w:rPr>
        <w:tab/>
        <w:t>Lockdown</w:t>
      </w:r>
      <w:r>
        <w:rPr>
          <w:rFonts w:ascii="Times New Roman" w:hAnsi="Times New Roman" w:cs="Times New Roman"/>
          <w:sz w:val="24"/>
          <w:szCs w:val="24"/>
          <w:lang w:val="en-US"/>
        </w:rPr>
        <w:tab/>
      </w:r>
      <w:r w:rsidR="009B0279">
        <w:rPr>
          <w:rFonts w:ascii="Times New Roman" w:hAnsi="Times New Roman" w:cs="Times New Roman"/>
          <w:sz w:val="24"/>
          <w:szCs w:val="24"/>
          <w:lang w:val="en-US"/>
        </w:rPr>
        <w:t>3,</w:t>
      </w:r>
      <w:r>
        <w:rPr>
          <w:rFonts w:ascii="Times New Roman" w:hAnsi="Times New Roman" w:cs="Times New Roman"/>
          <w:sz w:val="24"/>
          <w:szCs w:val="24"/>
          <w:lang w:val="en-US"/>
        </w:rPr>
        <w:t>500*4*$62,000 + $27b = $</w:t>
      </w:r>
      <w:r w:rsidR="009B0279">
        <w:rPr>
          <w:rFonts w:ascii="Times New Roman" w:hAnsi="Times New Roman" w:cs="Times New Roman"/>
          <w:sz w:val="24"/>
          <w:szCs w:val="24"/>
          <w:lang w:val="en-US"/>
        </w:rPr>
        <w:t>27.9</w:t>
      </w:r>
      <w:r>
        <w:rPr>
          <w:rFonts w:ascii="Times New Roman" w:hAnsi="Times New Roman" w:cs="Times New Roman"/>
          <w:sz w:val="24"/>
          <w:szCs w:val="24"/>
          <w:lang w:val="en-US"/>
        </w:rPr>
        <w:t>b</w:t>
      </w:r>
    </w:p>
    <w:p w:rsidR="00F43291" w:rsidRDefault="00F43291" w:rsidP="00A601FE">
      <w:pPr>
        <w:tabs>
          <w:tab w:val="left" w:pos="1701"/>
          <w:tab w:val="left" w:pos="2694"/>
          <w:tab w:val="left" w:pos="4253"/>
          <w:tab w:val="left" w:pos="808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6,500</w:t>
      </w:r>
      <w:r>
        <w:rPr>
          <w:rFonts w:ascii="Times New Roman" w:hAnsi="Times New Roman" w:cs="Times New Roman"/>
          <w:sz w:val="24"/>
          <w:szCs w:val="24"/>
          <w:lang w:val="en-US"/>
        </w:rPr>
        <w:tab/>
        <w:t>Mitigate</w:t>
      </w:r>
      <w:r>
        <w:rPr>
          <w:rFonts w:ascii="Times New Roman" w:hAnsi="Times New Roman" w:cs="Times New Roman"/>
          <w:sz w:val="24"/>
          <w:szCs w:val="24"/>
          <w:lang w:val="en-US"/>
        </w:rPr>
        <w:tab/>
        <w:t xml:space="preserve">6,500*4*$62,000 + </w:t>
      </w:r>
      <w:r w:rsidR="009B0279">
        <w:rPr>
          <w:rFonts w:ascii="Times New Roman" w:hAnsi="Times New Roman" w:cs="Times New Roman"/>
          <w:sz w:val="24"/>
          <w:szCs w:val="24"/>
          <w:lang w:val="en-US"/>
        </w:rPr>
        <w:t>0</w:t>
      </w:r>
      <w:r>
        <w:rPr>
          <w:rFonts w:ascii="Times New Roman" w:hAnsi="Times New Roman" w:cs="Times New Roman"/>
          <w:sz w:val="24"/>
          <w:szCs w:val="24"/>
          <w:lang w:val="en-US"/>
        </w:rPr>
        <w:t xml:space="preserve"> = </w:t>
      </w:r>
      <w:r w:rsidR="009B0279">
        <w:rPr>
          <w:rFonts w:ascii="Times New Roman" w:hAnsi="Times New Roman" w:cs="Times New Roman"/>
          <w:sz w:val="24"/>
          <w:szCs w:val="24"/>
          <w:lang w:val="en-US"/>
        </w:rPr>
        <w:t>$1.6b</w:t>
      </w:r>
      <w:r>
        <w:rPr>
          <w:rFonts w:ascii="Times New Roman" w:hAnsi="Times New Roman" w:cs="Times New Roman"/>
          <w:sz w:val="24"/>
          <w:szCs w:val="24"/>
          <w:lang w:val="en-US"/>
        </w:rPr>
        <w:tab/>
        <w:t>Mitig</w:t>
      </w:r>
      <w:r w:rsidR="00A601FE">
        <w:rPr>
          <w:rFonts w:ascii="Times New Roman" w:hAnsi="Times New Roman" w:cs="Times New Roman"/>
          <w:sz w:val="24"/>
          <w:szCs w:val="24"/>
          <w:lang w:val="en-US"/>
        </w:rPr>
        <w:t>ate</w:t>
      </w:r>
    </w:p>
    <w:p w:rsidR="00F43291" w:rsidRDefault="00487F74" w:rsidP="00F43291">
      <w:pPr>
        <w:tabs>
          <w:tab w:val="left" w:pos="1701"/>
          <w:tab w:val="left" w:pos="2694"/>
          <w:tab w:val="left" w:pos="4253"/>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Mitigate</w:t>
      </w:r>
    </w:p>
    <w:p w:rsidR="00F43291" w:rsidRDefault="00F43291" w:rsidP="00F43291">
      <w:pPr>
        <w:tabs>
          <w:tab w:val="left" w:pos="1701"/>
          <w:tab w:val="left" w:pos="2694"/>
          <w:tab w:val="left" w:pos="4253"/>
          <w:tab w:val="left" w:pos="793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30,600</w:t>
      </w:r>
      <w:r>
        <w:rPr>
          <w:rFonts w:ascii="Times New Roman" w:hAnsi="Times New Roman" w:cs="Times New Roman"/>
          <w:sz w:val="24"/>
          <w:szCs w:val="24"/>
          <w:lang w:val="en-US"/>
        </w:rPr>
        <w:tab/>
        <w:t>Lockdown</w:t>
      </w:r>
      <w:r>
        <w:rPr>
          <w:rFonts w:ascii="Times New Roman" w:hAnsi="Times New Roman" w:cs="Times New Roman"/>
          <w:sz w:val="24"/>
          <w:szCs w:val="24"/>
          <w:lang w:val="en-US"/>
        </w:rPr>
        <w:tab/>
      </w:r>
      <w:r w:rsidR="00FB6B8C">
        <w:rPr>
          <w:rFonts w:ascii="Times New Roman" w:hAnsi="Times New Roman" w:cs="Times New Roman"/>
          <w:sz w:val="24"/>
          <w:szCs w:val="24"/>
          <w:lang w:val="en-US"/>
        </w:rPr>
        <w:t>15,</w:t>
      </w:r>
      <w:r>
        <w:rPr>
          <w:rFonts w:ascii="Times New Roman" w:hAnsi="Times New Roman" w:cs="Times New Roman"/>
          <w:sz w:val="24"/>
          <w:szCs w:val="24"/>
          <w:lang w:val="en-US"/>
        </w:rPr>
        <w:t xml:space="preserve">500*4*$62,000 + $27b = </w:t>
      </w:r>
      <w:r w:rsidR="00FB6B8C">
        <w:rPr>
          <w:rFonts w:ascii="Times New Roman" w:hAnsi="Times New Roman" w:cs="Times New Roman"/>
          <w:sz w:val="24"/>
          <w:szCs w:val="24"/>
          <w:lang w:val="en-US"/>
        </w:rPr>
        <w:t>$30.8b</w:t>
      </w:r>
    </w:p>
    <w:p w:rsidR="00F43291" w:rsidRDefault="00F43291" w:rsidP="00A601FE">
      <w:pPr>
        <w:tabs>
          <w:tab w:val="left" w:pos="1701"/>
          <w:tab w:val="left" w:pos="2694"/>
          <w:tab w:val="left" w:pos="4253"/>
          <w:tab w:val="left" w:pos="808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30,600</w:t>
      </w:r>
      <w:r>
        <w:rPr>
          <w:rFonts w:ascii="Times New Roman" w:hAnsi="Times New Roman" w:cs="Times New Roman"/>
          <w:sz w:val="24"/>
          <w:szCs w:val="24"/>
          <w:lang w:val="en-US"/>
        </w:rPr>
        <w:tab/>
        <w:t>Mitigate</w:t>
      </w:r>
      <w:r>
        <w:rPr>
          <w:rFonts w:ascii="Times New Roman" w:hAnsi="Times New Roman" w:cs="Times New Roman"/>
          <w:sz w:val="24"/>
          <w:szCs w:val="24"/>
          <w:lang w:val="en-US"/>
        </w:rPr>
        <w:tab/>
        <w:t xml:space="preserve">30,600*4*$62,000 + </w:t>
      </w:r>
      <w:r w:rsidR="00EF3F09">
        <w:rPr>
          <w:rFonts w:ascii="Times New Roman" w:hAnsi="Times New Roman" w:cs="Times New Roman"/>
          <w:sz w:val="24"/>
          <w:szCs w:val="24"/>
          <w:lang w:val="en-US"/>
        </w:rPr>
        <w:t>0</w:t>
      </w:r>
      <w:r>
        <w:rPr>
          <w:rFonts w:ascii="Times New Roman" w:hAnsi="Times New Roman" w:cs="Times New Roman"/>
          <w:sz w:val="24"/>
          <w:szCs w:val="24"/>
          <w:lang w:val="en-US"/>
        </w:rPr>
        <w:t xml:space="preserve"> = </w:t>
      </w:r>
      <w:r w:rsidR="00EF3F09">
        <w:rPr>
          <w:rFonts w:ascii="Times New Roman" w:hAnsi="Times New Roman" w:cs="Times New Roman"/>
          <w:sz w:val="24"/>
          <w:szCs w:val="24"/>
          <w:lang w:val="en-US"/>
        </w:rPr>
        <w:t>$7.6b</w:t>
      </w:r>
      <w:r>
        <w:rPr>
          <w:rFonts w:ascii="Times New Roman" w:hAnsi="Times New Roman" w:cs="Times New Roman"/>
          <w:sz w:val="24"/>
          <w:szCs w:val="24"/>
          <w:lang w:val="en-US"/>
        </w:rPr>
        <w:tab/>
        <w:t>Mitig</w:t>
      </w:r>
      <w:r w:rsidR="00A601FE">
        <w:rPr>
          <w:rFonts w:ascii="Times New Roman" w:hAnsi="Times New Roman" w:cs="Times New Roman"/>
          <w:sz w:val="24"/>
          <w:szCs w:val="24"/>
          <w:lang w:val="en-US"/>
        </w:rPr>
        <w:t>ate</w:t>
      </w:r>
    </w:p>
    <w:p w:rsidR="00F43291" w:rsidRDefault="006202A8" w:rsidP="00F43291">
      <w:pPr>
        <w:tabs>
          <w:tab w:val="left" w:pos="1701"/>
          <w:tab w:val="left" w:pos="2694"/>
          <w:tab w:val="left" w:pos="4253"/>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6457E4" w:rsidRDefault="006457E4" w:rsidP="00F53D22">
      <w:pPr>
        <w:spacing w:after="0" w:line="360" w:lineRule="auto"/>
        <w:jc w:val="both"/>
        <w:rPr>
          <w:rFonts w:ascii="Times New Roman" w:hAnsi="Times New Roman" w:cs="Times New Roman"/>
          <w:sz w:val="24"/>
          <w:szCs w:val="24"/>
          <w:lang w:val="en-US"/>
        </w:rPr>
      </w:pPr>
    </w:p>
    <w:p w:rsidR="003C2B12" w:rsidRDefault="003C2B12" w:rsidP="00F53D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only situation in which lockdown is </w:t>
      </w:r>
      <w:r w:rsidR="002C1C62">
        <w:rPr>
          <w:rFonts w:ascii="Times New Roman" w:hAnsi="Times New Roman" w:cs="Times New Roman"/>
          <w:sz w:val="24"/>
          <w:szCs w:val="24"/>
          <w:lang w:val="en-US"/>
        </w:rPr>
        <w:t xml:space="preserve">even </w:t>
      </w:r>
      <w:r>
        <w:rPr>
          <w:rFonts w:ascii="Times New Roman" w:hAnsi="Times New Roman" w:cs="Times New Roman"/>
          <w:sz w:val="24"/>
          <w:szCs w:val="24"/>
          <w:lang w:val="en-US"/>
        </w:rPr>
        <w:t xml:space="preserve">optimal </w:t>
      </w:r>
      <w:r w:rsidR="002C1C62">
        <w:rPr>
          <w:rFonts w:ascii="Times New Roman" w:hAnsi="Times New Roman" w:cs="Times New Roman"/>
          <w:sz w:val="24"/>
          <w:szCs w:val="24"/>
          <w:lang w:val="en-US"/>
        </w:rPr>
        <w:t xml:space="preserve">in one month </w:t>
      </w:r>
      <w:r>
        <w:rPr>
          <w:rFonts w:ascii="Times New Roman" w:hAnsi="Times New Roman" w:cs="Times New Roman"/>
          <w:sz w:val="24"/>
          <w:szCs w:val="24"/>
          <w:lang w:val="en-US"/>
        </w:rPr>
        <w:t xml:space="preserve">is when the worst case scenario is </w:t>
      </w:r>
      <w:r w:rsidR="009865AE">
        <w:rPr>
          <w:rFonts w:ascii="Times New Roman" w:hAnsi="Times New Roman" w:cs="Times New Roman"/>
          <w:sz w:val="24"/>
          <w:szCs w:val="24"/>
          <w:lang w:val="en-US"/>
        </w:rPr>
        <w:t xml:space="preserve">sufficiently far above </w:t>
      </w:r>
      <w:r>
        <w:rPr>
          <w:rFonts w:ascii="Times New Roman" w:hAnsi="Times New Roman" w:cs="Times New Roman"/>
          <w:sz w:val="24"/>
          <w:szCs w:val="24"/>
          <w:lang w:val="en-US"/>
        </w:rPr>
        <w:t>that presented by Blakely et al (2020).</w:t>
      </w:r>
      <w:r w:rsidR="009865AE">
        <w:rPr>
          <w:rFonts w:ascii="Times New Roman" w:hAnsi="Times New Roman" w:cs="Times New Roman"/>
          <w:sz w:val="24"/>
          <w:szCs w:val="24"/>
          <w:lang w:val="en-US"/>
        </w:rPr>
        <w:t xml:space="preserve">  T</w:t>
      </w:r>
      <w:r w:rsidR="002C1C62">
        <w:rPr>
          <w:rFonts w:ascii="Times New Roman" w:hAnsi="Times New Roman" w:cs="Times New Roman"/>
          <w:sz w:val="24"/>
          <w:szCs w:val="24"/>
          <w:lang w:val="en-US"/>
        </w:rPr>
        <w:t xml:space="preserve">his requires deaths </w:t>
      </w:r>
      <w:r w:rsidR="00DD4820">
        <w:rPr>
          <w:rFonts w:ascii="Times New Roman" w:hAnsi="Times New Roman" w:cs="Times New Roman"/>
          <w:sz w:val="24"/>
          <w:szCs w:val="24"/>
          <w:lang w:val="en-US"/>
        </w:rPr>
        <w:t xml:space="preserve">from mitigation throughout </w:t>
      </w:r>
      <w:r w:rsidR="002C1C62">
        <w:rPr>
          <w:rFonts w:ascii="Times New Roman" w:hAnsi="Times New Roman" w:cs="Times New Roman"/>
          <w:sz w:val="24"/>
          <w:szCs w:val="24"/>
          <w:lang w:val="en-US"/>
        </w:rPr>
        <w:t>of 54</w:t>
      </w:r>
      <w:r w:rsidR="009865AE">
        <w:rPr>
          <w:rFonts w:ascii="Times New Roman" w:hAnsi="Times New Roman" w:cs="Times New Roman"/>
          <w:sz w:val="24"/>
          <w:szCs w:val="24"/>
          <w:lang w:val="en-US"/>
        </w:rPr>
        <w:t xml:space="preserve">,000, which </w:t>
      </w:r>
      <w:r w:rsidR="002C1C62">
        <w:rPr>
          <w:rFonts w:ascii="Times New Roman" w:hAnsi="Times New Roman" w:cs="Times New Roman"/>
          <w:sz w:val="24"/>
          <w:szCs w:val="24"/>
          <w:lang w:val="en-US"/>
        </w:rPr>
        <w:t xml:space="preserve">induces continuation of lockdown after one </w:t>
      </w:r>
      <w:r w:rsidR="002C1C62">
        <w:rPr>
          <w:rFonts w:ascii="Times New Roman" w:hAnsi="Times New Roman" w:cs="Times New Roman"/>
          <w:sz w:val="24"/>
          <w:szCs w:val="24"/>
          <w:lang w:val="en-US"/>
        </w:rPr>
        <w:lastRenderedPageBreak/>
        <w:t>month in the high</w:t>
      </w:r>
      <w:r w:rsidR="002770DB">
        <w:rPr>
          <w:rFonts w:ascii="Times New Roman" w:hAnsi="Times New Roman" w:cs="Times New Roman"/>
          <w:sz w:val="24"/>
          <w:szCs w:val="24"/>
          <w:lang w:val="en-US"/>
        </w:rPr>
        <w:t>est death toll s</w:t>
      </w:r>
      <w:r w:rsidR="002C1C62">
        <w:rPr>
          <w:rFonts w:ascii="Times New Roman" w:hAnsi="Times New Roman" w:cs="Times New Roman"/>
          <w:sz w:val="24"/>
          <w:szCs w:val="24"/>
          <w:lang w:val="en-US"/>
        </w:rPr>
        <w:t>cenario</w:t>
      </w:r>
      <w:r w:rsidR="00B73867">
        <w:rPr>
          <w:rFonts w:ascii="Times New Roman" w:hAnsi="Times New Roman" w:cs="Times New Roman"/>
          <w:sz w:val="24"/>
          <w:szCs w:val="24"/>
          <w:lang w:val="en-US"/>
        </w:rPr>
        <w:t xml:space="preserve"> (initial lockdown plus deaths under mitigation throughout of 30,600)</w:t>
      </w:r>
      <w:r w:rsidR="002C1C62">
        <w:rPr>
          <w:rFonts w:ascii="Times New Roman" w:hAnsi="Times New Roman" w:cs="Times New Roman"/>
          <w:sz w:val="24"/>
          <w:szCs w:val="24"/>
          <w:lang w:val="en-US"/>
        </w:rPr>
        <w:t xml:space="preserve">.  Even so, the </w:t>
      </w:r>
      <w:r w:rsidR="00DD4820">
        <w:rPr>
          <w:rFonts w:ascii="Times New Roman" w:hAnsi="Times New Roman" w:cs="Times New Roman"/>
          <w:sz w:val="24"/>
          <w:szCs w:val="24"/>
          <w:lang w:val="en-US"/>
        </w:rPr>
        <w:t xml:space="preserve">optimal decision now is still to mitigate, and </w:t>
      </w:r>
      <w:r w:rsidR="00717ECF">
        <w:rPr>
          <w:rFonts w:ascii="Times New Roman" w:hAnsi="Times New Roman" w:cs="Times New Roman"/>
          <w:sz w:val="24"/>
          <w:szCs w:val="24"/>
          <w:lang w:val="en-US"/>
        </w:rPr>
        <w:t xml:space="preserve">to maintain that </w:t>
      </w:r>
      <w:r w:rsidR="00DD4820">
        <w:rPr>
          <w:rFonts w:ascii="Times New Roman" w:hAnsi="Times New Roman" w:cs="Times New Roman"/>
          <w:sz w:val="24"/>
          <w:szCs w:val="24"/>
          <w:lang w:val="en-US"/>
        </w:rPr>
        <w:t>policy</w:t>
      </w:r>
      <w:r w:rsidR="00B73867">
        <w:rPr>
          <w:rFonts w:ascii="Times New Roman" w:hAnsi="Times New Roman" w:cs="Times New Roman"/>
          <w:sz w:val="24"/>
          <w:szCs w:val="24"/>
          <w:lang w:val="en-US"/>
        </w:rPr>
        <w:t xml:space="preserve"> at the reassessment point</w:t>
      </w:r>
      <w:r w:rsidR="00DD4820">
        <w:rPr>
          <w:rFonts w:ascii="Times New Roman" w:hAnsi="Times New Roman" w:cs="Times New Roman"/>
          <w:sz w:val="24"/>
          <w:szCs w:val="24"/>
          <w:lang w:val="en-US"/>
        </w:rPr>
        <w:t xml:space="preserve">.  </w:t>
      </w:r>
      <w:r w:rsidR="002770DB">
        <w:rPr>
          <w:rFonts w:ascii="Times New Roman" w:hAnsi="Times New Roman" w:cs="Times New Roman"/>
          <w:sz w:val="24"/>
          <w:szCs w:val="24"/>
          <w:lang w:val="en-US"/>
        </w:rPr>
        <w:t xml:space="preserve">Even </w:t>
      </w:r>
      <w:r w:rsidR="00A018B1">
        <w:rPr>
          <w:rFonts w:ascii="Times New Roman" w:hAnsi="Times New Roman" w:cs="Times New Roman"/>
          <w:sz w:val="24"/>
          <w:szCs w:val="24"/>
          <w:lang w:val="en-US"/>
        </w:rPr>
        <w:t xml:space="preserve">a maximum death toll </w:t>
      </w:r>
      <w:r w:rsidR="002770DB">
        <w:rPr>
          <w:rFonts w:ascii="Times New Roman" w:hAnsi="Times New Roman" w:cs="Times New Roman"/>
          <w:sz w:val="24"/>
          <w:szCs w:val="24"/>
          <w:lang w:val="en-US"/>
        </w:rPr>
        <w:t xml:space="preserve">of 108,000 </w:t>
      </w:r>
      <w:r w:rsidR="00B73867">
        <w:rPr>
          <w:rFonts w:ascii="Times New Roman" w:hAnsi="Times New Roman" w:cs="Times New Roman"/>
          <w:sz w:val="24"/>
          <w:szCs w:val="24"/>
          <w:lang w:val="en-US"/>
        </w:rPr>
        <w:t xml:space="preserve">under mitigation throughout </w:t>
      </w:r>
      <w:r w:rsidR="002770DB">
        <w:rPr>
          <w:rFonts w:ascii="Times New Roman" w:hAnsi="Times New Roman" w:cs="Times New Roman"/>
          <w:sz w:val="24"/>
          <w:szCs w:val="24"/>
          <w:lang w:val="en-US"/>
        </w:rPr>
        <w:t xml:space="preserve">would still leave mitigation now superior because its costs would be lower in </w:t>
      </w:r>
      <w:r w:rsidR="00A018B1">
        <w:rPr>
          <w:rFonts w:ascii="Times New Roman" w:hAnsi="Times New Roman" w:cs="Times New Roman"/>
          <w:sz w:val="24"/>
          <w:szCs w:val="24"/>
          <w:lang w:val="en-US"/>
        </w:rPr>
        <w:t xml:space="preserve">all death rate scenarios except the highest and no </w:t>
      </w:r>
      <w:r w:rsidR="002770DB">
        <w:rPr>
          <w:rFonts w:ascii="Times New Roman" w:hAnsi="Times New Roman" w:cs="Times New Roman"/>
          <w:sz w:val="24"/>
          <w:szCs w:val="24"/>
          <w:lang w:val="en-US"/>
        </w:rPr>
        <w:t>worse in the high</w:t>
      </w:r>
      <w:r w:rsidR="00A018B1">
        <w:rPr>
          <w:rFonts w:ascii="Times New Roman" w:hAnsi="Times New Roman" w:cs="Times New Roman"/>
          <w:sz w:val="24"/>
          <w:szCs w:val="24"/>
          <w:lang w:val="en-US"/>
        </w:rPr>
        <w:t>est</w:t>
      </w:r>
      <w:r w:rsidR="002770DB">
        <w:rPr>
          <w:rFonts w:ascii="Times New Roman" w:hAnsi="Times New Roman" w:cs="Times New Roman"/>
          <w:sz w:val="24"/>
          <w:szCs w:val="24"/>
          <w:lang w:val="en-US"/>
        </w:rPr>
        <w:t xml:space="preserve">.  Thus, there is no remotely plausible probability distribution for deaths under mitigation that would justify lockdown now.  </w:t>
      </w:r>
      <w:r w:rsidR="00E57D19">
        <w:rPr>
          <w:rFonts w:ascii="Times New Roman" w:hAnsi="Times New Roman" w:cs="Times New Roman"/>
          <w:sz w:val="24"/>
          <w:szCs w:val="24"/>
          <w:lang w:val="en-US"/>
        </w:rPr>
        <w:t xml:space="preserve">The analysis assumes that switching from mitigation to lockdown after one month halves the death toll, but this is inconsistent with the analysis in the Appendix that failing to lockdown quickly implies that doing so later is pointless.  In this case, the deaths from this situation would be the same as those from never locking down, this makes the switch even less </w:t>
      </w:r>
      <w:proofErr w:type="spellStart"/>
      <w:r w:rsidR="00E57D19">
        <w:rPr>
          <w:rFonts w:ascii="Times New Roman" w:hAnsi="Times New Roman" w:cs="Times New Roman"/>
          <w:sz w:val="24"/>
          <w:szCs w:val="24"/>
          <w:lang w:val="en-US"/>
        </w:rPr>
        <w:t>favourable</w:t>
      </w:r>
      <w:proofErr w:type="spellEnd"/>
      <w:r w:rsidR="00E57D19">
        <w:rPr>
          <w:rFonts w:ascii="Times New Roman" w:hAnsi="Times New Roman" w:cs="Times New Roman"/>
          <w:sz w:val="24"/>
          <w:szCs w:val="24"/>
          <w:lang w:val="en-US"/>
        </w:rPr>
        <w:t xml:space="preserve">, and this does not alter the decision at this point because mitigation at this point is already </w:t>
      </w:r>
      <w:proofErr w:type="spellStart"/>
      <w:r w:rsidR="00E57D19">
        <w:rPr>
          <w:rFonts w:ascii="Times New Roman" w:hAnsi="Times New Roman" w:cs="Times New Roman"/>
          <w:sz w:val="24"/>
          <w:szCs w:val="24"/>
          <w:lang w:val="en-US"/>
        </w:rPr>
        <w:t>favoured</w:t>
      </w:r>
      <w:proofErr w:type="spellEnd"/>
      <w:r w:rsidR="00E57D19">
        <w:rPr>
          <w:rFonts w:ascii="Times New Roman" w:hAnsi="Times New Roman" w:cs="Times New Roman"/>
          <w:sz w:val="24"/>
          <w:szCs w:val="24"/>
          <w:lang w:val="en-US"/>
        </w:rPr>
        <w:t xml:space="preserve">.  </w:t>
      </w:r>
      <w:bookmarkStart w:id="0" w:name="_GoBack"/>
      <w:bookmarkEnd w:id="0"/>
      <w:r w:rsidR="00856CF4">
        <w:rPr>
          <w:rFonts w:ascii="Times New Roman" w:hAnsi="Times New Roman" w:cs="Times New Roman"/>
          <w:sz w:val="24"/>
          <w:szCs w:val="24"/>
          <w:lang w:val="en-US"/>
        </w:rPr>
        <w:t xml:space="preserve">Blakely et al (2020) also </w:t>
      </w:r>
      <w:r w:rsidR="008344C0">
        <w:rPr>
          <w:rFonts w:ascii="Times New Roman" w:hAnsi="Times New Roman" w:cs="Times New Roman"/>
          <w:sz w:val="24"/>
          <w:szCs w:val="24"/>
          <w:lang w:val="en-US"/>
        </w:rPr>
        <w:t xml:space="preserve">alludes to the </w:t>
      </w:r>
      <w:r w:rsidR="00856CF4">
        <w:rPr>
          <w:rFonts w:ascii="Times New Roman" w:hAnsi="Times New Roman" w:cs="Times New Roman"/>
          <w:sz w:val="24"/>
          <w:szCs w:val="24"/>
          <w:lang w:val="en-US"/>
        </w:rPr>
        <w:t xml:space="preserve">possibility of lockdown failing, but consideration of this possibility </w:t>
      </w:r>
      <w:r w:rsidR="00B73867">
        <w:rPr>
          <w:rFonts w:ascii="Times New Roman" w:hAnsi="Times New Roman" w:cs="Times New Roman"/>
          <w:sz w:val="24"/>
          <w:szCs w:val="24"/>
          <w:lang w:val="en-US"/>
        </w:rPr>
        <w:t xml:space="preserve">makes lockdown even less </w:t>
      </w:r>
      <w:proofErr w:type="spellStart"/>
      <w:r w:rsidR="00B73867">
        <w:rPr>
          <w:rFonts w:ascii="Times New Roman" w:hAnsi="Times New Roman" w:cs="Times New Roman"/>
          <w:sz w:val="24"/>
          <w:szCs w:val="24"/>
          <w:lang w:val="en-US"/>
        </w:rPr>
        <w:t>favourable</w:t>
      </w:r>
      <w:proofErr w:type="spellEnd"/>
      <w:r w:rsidR="00B73867">
        <w:rPr>
          <w:rFonts w:ascii="Times New Roman" w:hAnsi="Times New Roman" w:cs="Times New Roman"/>
          <w:sz w:val="24"/>
          <w:szCs w:val="24"/>
          <w:lang w:val="en-US"/>
        </w:rPr>
        <w:t xml:space="preserve"> and therefore </w:t>
      </w:r>
      <w:r w:rsidR="00856CF4">
        <w:rPr>
          <w:rFonts w:ascii="Times New Roman" w:hAnsi="Times New Roman" w:cs="Times New Roman"/>
          <w:sz w:val="24"/>
          <w:szCs w:val="24"/>
          <w:lang w:val="en-US"/>
        </w:rPr>
        <w:t>does not</w:t>
      </w:r>
      <w:r w:rsidR="00DD4820">
        <w:rPr>
          <w:rFonts w:ascii="Times New Roman" w:hAnsi="Times New Roman" w:cs="Times New Roman"/>
          <w:sz w:val="24"/>
          <w:szCs w:val="24"/>
          <w:lang w:val="en-US"/>
        </w:rPr>
        <w:t xml:space="preserve"> change the result here: mitigating </w:t>
      </w:r>
      <w:r w:rsidR="008344C0">
        <w:rPr>
          <w:rFonts w:ascii="Times New Roman" w:hAnsi="Times New Roman" w:cs="Times New Roman"/>
          <w:sz w:val="24"/>
          <w:szCs w:val="24"/>
          <w:lang w:val="en-US"/>
        </w:rPr>
        <w:t xml:space="preserve">initially was </w:t>
      </w:r>
      <w:r w:rsidR="00DD4820">
        <w:rPr>
          <w:rFonts w:ascii="Times New Roman" w:hAnsi="Times New Roman" w:cs="Times New Roman"/>
          <w:sz w:val="24"/>
          <w:szCs w:val="24"/>
          <w:lang w:val="en-US"/>
        </w:rPr>
        <w:t>optimal</w:t>
      </w:r>
      <w:r w:rsidR="00487F74">
        <w:rPr>
          <w:rFonts w:ascii="Times New Roman" w:hAnsi="Times New Roman" w:cs="Times New Roman"/>
          <w:sz w:val="24"/>
          <w:szCs w:val="24"/>
          <w:lang w:val="en-US"/>
        </w:rPr>
        <w:t>,</w:t>
      </w:r>
      <w:r w:rsidR="008344C0">
        <w:rPr>
          <w:rFonts w:ascii="Times New Roman" w:hAnsi="Times New Roman" w:cs="Times New Roman"/>
          <w:sz w:val="24"/>
          <w:szCs w:val="24"/>
          <w:lang w:val="en-US"/>
        </w:rPr>
        <w:t xml:space="preserve"> and remained</w:t>
      </w:r>
      <w:r w:rsidR="00DD4820">
        <w:rPr>
          <w:rFonts w:ascii="Times New Roman" w:hAnsi="Times New Roman" w:cs="Times New Roman"/>
          <w:sz w:val="24"/>
          <w:szCs w:val="24"/>
          <w:lang w:val="en-US"/>
        </w:rPr>
        <w:t xml:space="preserve"> so even if the decision could be changed a</w:t>
      </w:r>
      <w:r w:rsidR="008344C0">
        <w:rPr>
          <w:rFonts w:ascii="Times New Roman" w:hAnsi="Times New Roman" w:cs="Times New Roman"/>
          <w:sz w:val="24"/>
          <w:szCs w:val="24"/>
          <w:lang w:val="en-US"/>
        </w:rPr>
        <w:t>s death rate information unfolded</w:t>
      </w:r>
      <w:r w:rsidR="00487F74">
        <w:rPr>
          <w:rFonts w:ascii="Times New Roman" w:hAnsi="Times New Roman" w:cs="Times New Roman"/>
          <w:sz w:val="24"/>
          <w:szCs w:val="24"/>
          <w:lang w:val="en-US"/>
        </w:rPr>
        <w:t xml:space="preserve">, because the worst case death toll </w:t>
      </w:r>
      <w:r w:rsidR="008344C0">
        <w:rPr>
          <w:rFonts w:ascii="Times New Roman" w:hAnsi="Times New Roman" w:cs="Times New Roman"/>
          <w:sz w:val="24"/>
          <w:szCs w:val="24"/>
          <w:lang w:val="en-US"/>
        </w:rPr>
        <w:t>scenario was</w:t>
      </w:r>
      <w:r w:rsidR="00487F74">
        <w:rPr>
          <w:rFonts w:ascii="Times New Roman" w:hAnsi="Times New Roman" w:cs="Times New Roman"/>
          <w:sz w:val="24"/>
          <w:szCs w:val="24"/>
          <w:lang w:val="en-US"/>
        </w:rPr>
        <w:t xml:space="preserve"> insufficiently high</w:t>
      </w:r>
      <w:r w:rsidR="00DD4820">
        <w:rPr>
          <w:rFonts w:ascii="Times New Roman" w:hAnsi="Times New Roman" w:cs="Times New Roman"/>
          <w:sz w:val="24"/>
          <w:szCs w:val="24"/>
          <w:lang w:val="en-US"/>
        </w:rPr>
        <w:t>.</w:t>
      </w:r>
    </w:p>
    <w:p w:rsidR="00086EAA" w:rsidRDefault="00086EAA" w:rsidP="00F53D22">
      <w:pPr>
        <w:spacing w:after="0" w:line="360" w:lineRule="auto"/>
        <w:jc w:val="both"/>
        <w:rPr>
          <w:rFonts w:ascii="Times New Roman" w:hAnsi="Times New Roman" w:cs="Times New Roman"/>
          <w:sz w:val="24"/>
          <w:szCs w:val="24"/>
          <w:lang w:val="en-US"/>
        </w:rPr>
      </w:pPr>
    </w:p>
    <w:p w:rsidR="00086EAA" w:rsidRDefault="00086EAA" w:rsidP="00F53D2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analysis shows that, contrary to the claims of the National Crisis Management Centre, quantitative cost-benefit analysis readily allows for the dynamic features of the lockdown decision process and that doing so affirms the conclusion that lockdown was not warranted based on the information available </w:t>
      </w:r>
      <w:r w:rsidR="002F0822">
        <w:rPr>
          <w:rFonts w:ascii="Times New Roman" w:hAnsi="Times New Roman" w:cs="Times New Roman"/>
          <w:sz w:val="24"/>
          <w:szCs w:val="24"/>
          <w:lang w:val="en-US"/>
        </w:rPr>
        <w:t xml:space="preserve">on 23 </w:t>
      </w:r>
      <w:r>
        <w:rPr>
          <w:rFonts w:ascii="Times New Roman" w:hAnsi="Times New Roman" w:cs="Times New Roman"/>
          <w:sz w:val="24"/>
          <w:szCs w:val="24"/>
          <w:lang w:val="en-US"/>
        </w:rPr>
        <w:t>March 2020.</w:t>
      </w:r>
    </w:p>
    <w:p w:rsidR="003C2B12" w:rsidRDefault="003C2B12" w:rsidP="00F53D22">
      <w:pPr>
        <w:spacing w:after="0" w:line="360" w:lineRule="auto"/>
        <w:jc w:val="both"/>
        <w:rPr>
          <w:rFonts w:ascii="Times New Roman" w:hAnsi="Times New Roman" w:cs="Times New Roman"/>
          <w:sz w:val="24"/>
          <w:szCs w:val="24"/>
          <w:lang w:val="en-US"/>
        </w:rPr>
      </w:pPr>
    </w:p>
    <w:p w:rsidR="00E52F09" w:rsidRDefault="003626D7" w:rsidP="00E52F09">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Looking Back </w:t>
      </w:r>
      <w:r w:rsidR="00D21E30">
        <w:rPr>
          <w:rFonts w:ascii="Times New Roman" w:hAnsi="Times New Roman" w:cs="Times New Roman"/>
          <w:b/>
          <w:sz w:val="24"/>
          <w:szCs w:val="24"/>
          <w:lang w:val="en-US"/>
        </w:rPr>
        <w:t>to 23</w:t>
      </w:r>
      <w:r w:rsidR="0065100A">
        <w:rPr>
          <w:rFonts w:ascii="Times New Roman" w:hAnsi="Times New Roman" w:cs="Times New Roman"/>
          <w:b/>
          <w:sz w:val="24"/>
          <w:szCs w:val="24"/>
          <w:lang w:val="en-US"/>
        </w:rPr>
        <w:t xml:space="preserve"> March</w:t>
      </w:r>
    </w:p>
    <w:p w:rsidR="00E52F09" w:rsidRPr="00D144F1" w:rsidRDefault="00D144F1" w:rsidP="00E52F09">
      <w:pPr>
        <w:spacing w:after="0" w:line="360" w:lineRule="auto"/>
        <w:jc w:val="both"/>
        <w:rPr>
          <w:rFonts w:ascii="Times New Roman" w:hAnsi="Times New Roman" w:cs="Times New Roman"/>
          <w:i/>
          <w:sz w:val="24"/>
          <w:szCs w:val="24"/>
          <w:lang w:val="en-US"/>
        </w:rPr>
      </w:pPr>
      <w:r w:rsidRPr="00D144F1">
        <w:rPr>
          <w:rFonts w:ascii="Times New Roman" w:hAnsi="Times New Roman" w:cs="Times New Roman"/>
          <w:i/>
          <w:sz w:val="24"/>
          <w:szCs w:val="24"/>
          <w:lang w:val="en-US"/>
        </w:rPr>
        <w:t>3.1 Deaths</w:t>
      </w:r>
    </w:p>
    <w:p w:rsidR="009442E8" w:rsidRDefault="00C614F9"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months since the first lockdown, significant new information has become available</w:t>
      </w:r>
      <w:r w:rsidR="002051C0">
        <w:rPr>
          <w:rFonts w:ascii="Times New Roman" w:hAnsi="Times New Roman" w:cs="Times New Roman"/>
          <w:sz w:val="24"/>
          <w:szCs w:val="24"/>
          <w:lang w:val="en-US"/>
        </w:rPr>
        <w:t>, on deaths, GDP losses, and other issues</w:t>
      </w:r>
      <w:r>
        <w:rPr>
          <w:rFonts w:ascii="Times New Roman" w:hAnsi="Times New Roman" w:cs="Times New Roman"/>
          <w:sz w:val="24"/>
          <w:szCs w:val="24"/>
          <w:lang w:val="en-US"/>
        </w:rPr>
        <w:t xml:space="preserve">.  </w:t>
      </w:r>
      <w:r w:rsidR="002051C0">
        <w:rPr>
          <w:rFonts w:ascii="Times New Roman" w:hAnsi="Times New Roman" w:cs="Times New Roman"/>
          <w:sz w:val="24"/>
          <w:szCs w:val="24"/>
          <w:lang w:val="en-US"/>
        </w:rPr>
        <w:t>In respect of deaths</w:t>
      </w:r>
      <w:r w:rsidR="00161B2A">
        <w:rPr>
          <w:rFonts w:ascii="Times New Roman" w:hAnsi="Times New Roman" w:cs="Times New Roman"/>
          <w:sz w:val="24"/>
          <w:szCs w:val="24"/>
          <w:lang w:val="en-US"/>
        </w:rPr>
        <w:t xml:space="preserve"> under its lockdown policy</w:t>
      </w:r>
      <w:r w:rsidR="002051C0">
        <w:rPr>
          <w:rFonts w:ascii="Times New Roman" w:hAnsi="Times New Roman" w:cs="Times New Roman"/>
          <w:sz w:val="24"/>
          <w:szCs w:val="24"/>
          <w:lang w:val="en-US"/>
        </w:rPr>
        <w:t xml:space="preserve">, </w:t>
      </w:r>
      <w:r w:rsidR="00975684">
        <w:rPr>
          <w:rFonts w:ascii="Times New Roman" w:hAnsi="Times New Roman" w:cs="Times New Roman"/>
          <w:sz w:val="24"/>
          <w:szCs w:val="24"/>
          <w:lang w:val="en-US"/>
        </w:rPr>
        <w:t>New Zealand</w:t>
      </w:r>
      <w:r w:rsidR="002051C0">
        <w:rPr>
          <w:rFonts w:ascii="Times New Roman" w:hAnsi="Times New Roman" w:cs="Times New Roman"/>
          <w:sz w:val="24"/>
          <w:szCs w:val="24"/>
          <w:lang w:val="en-US"/>
        </w:rPr>
        <w:t xml:space="preserve">’s </w:t>
      </w:r>
      <w:r w:rsidR="00975684">
        <w:rPr>
          <w:rFonts w:ascii="Times New Roman" w:hAnsi="Times New Roman" w:cs="Times New Roman"/>
          <w:sz w:val="24"/>
          <w:szCs w:val="24"/>
          <w:lang w:val="en-US"/>
        </w:rPr>
        <w:t xml:space="preserve">toll </w:t>
      </w:r>
      <w:r w:rsidR="002051C0">
        <w:rPr>
          <w:rFonts w:ascii="Times New Roman" w:hAnsi="Times New Roman" w:cs="Times New Roman"/>
          <w:sz w:val="24"/>
          <w:szCs w:val="24"/>
          <w:lang w:val="en-US"/>
        </w:rPr>
        <w:t xml:space="preserve">to date </w:t>
      </w:r>
      <w:r w:rsidR="00171453">
        <w:rPr>
          <w:rFonts w:ascii="Times New Roman" w:hAnsi="Times New Roman" w:cs="Times New Roman"/>
          <w:sz w:val="24"/>
          <w:szCs w:val="24"/>
          <w:lang w:val="en-US"/>
        </w:rPr>
        <w:t>has been 25</w:t>
      </w:r>
      <w:r w:rsidR="00975684">
        <w:rPr>
          <w:rFonts w:ascii="Times New Roman" w:hAnsi="Times New Roman" w:cs="Times New Roman"/>
          <w:sz w:val="24"/>
          <w:szCs w:val="24"/>
          <w:lang w:val="en-US"/>
        </w:rPr>
        <w:t xml:space="preserve">.  </w:t>
      </w:r>
      <w:r w:rsidR="00C433A2">
        <w:rPr>
          <w:rFonts w:ascii="Times New Roman" w:hAnsi="Times New Roman" w:cs="Times New Roman"/>
          <w:sz w:val="24"/>
          <w:szCs w:val="24"/>
          <w:lang w:val="en-US"/>
        </w:rPr>
        <w:t xml:space="preserve">This is </w:t>
      </w:r>
      <w:r w:rsidR="003C70A9">
        <w:rPr>
          <w:rFonts w:ascii="Times New Roman" w:hAnsi="Times New Roman" w:cs="Times New Roman"/>
          <w:sz w:val="24"/>
          <w:szCs w:val="24"/>
          <w:lang w:val="en-US"/>
        </w:rPr>
        <w:t xml:space="preserve">vastly less than Blakely et </w:t>
      </w:r>
      <w:proofErr w:type="spellStart"/>
      <w:r w:rsidR="003C70A9">
        <w:rPr>
          <w:rFonts w:ascii="Times New Roman" w:hAnsi="Times New Roman" w:cs="Times New Roman"/>
          <w:sz w:val="24"/>
          <w:szCs w:val="24"/>
          <w:lang w:val="en-US"/>
        </w:rPr>
        <w:t>al’</w:t>
      </w:r>
      <w:r w:rsidR="00C433A2">
        <w:rPr>
          <w:rFonts w:ascii="Times New Roman" w:hAnsi="Times New Roman" w:cs="Times New Roman"/>
          <w:sz w:val="24"/>
          <w:szCs w:val="24"/>
          <w:lang w:val="en-US"/>
        </w:rPr>
        <w:t>s</w:t>
      </w:r>
      <w:proofErr w:type="spellEnd"/>
      <w:r w:rsidR="00C433A2">
        <w:rPr>
          <w:rFonts w:ascii="Times New Roman" w:hAnsi="Times New Roman" w:cs="Times New Roman"/>
          <w:sz w:val="24"/>
          <w:szCs w:val="24"/>
          <w:lang w:val="en-US"/>
        </w:rPr>
        <w:t xml:space="preserve"> (2020) estimate</w:t>
      </w:r>
      <w:r w:rsidR="00D8622D">
        <w:rPr>
          <w:rFonts w:ascii="Times New Roman" w:hAnsi="Times New Roman" w:cs="Times New Roman"/>
          <w:sz w:val="24"/>
          <w:szCs w:val="24"/>
          <w:lang w:val="en-US"/>
        </w:rPr>
        <w:t xml:space="preserve"> of</w:t>
      </w:r>
      <w:r w:rsidR="00C433A2">
        <w:rPr>
          <w:rFonts w:ascii="Times New Roman" w:hAnsi="Times New Roman" w:cs="Times New Roman"/>
          <w:sz w:val="24"/>
          <w:szCs w:val="24"/>
          <w:lang w:val="en-US"/>
        </w:rPr>
        <w:t xml:space="preserve"> 500</w:t>
      </w:r>
      <w:r w:rsidR="00173EBD">
        <w:rPr>
          <w:rFonts w:ascii="Times New Roman" w:hAnsi="Times New Roman" w:cs="Times New Roman"/>
          <w:sz w:val="24"/>
          <w:szCs w:val="24"/>
          <w:lang w:val="en-US"/>
        </w:rPr>
        <w:t xml:space="preserve"> from </w:t>
      </w:r>
      <w:r w:rsidR="00707E59">
        <w:rPr>
          <w:rFonts w:ascii="Times New Roman" w:hAnsi="Times New Roman" w:cs="Times New Roman"/>
          <w:sz w:val="24"/>
          <w:szCs w:val="24"/>
          <w:lang w:val="en-US"/>
        </w:rPr>
        <w:t xml:space="preserve">an eradication </w:t>
      </w:r>
      <w:r w:rsidR="00173EBD">
        <w:rPr>
          <w:rFonts w:ascii="Times New Roman" w:hAnsi="Times New Roman" w:cs="Times New Roman"/>
          <w:sz w:val="24"/>
          <w:szCs w:val="24"/>
          <w:lang w:val="en-US"/>
        </w:rPr>
        <w:t>policy</w:t>
      </w:r>
      <w:r w:rsidR="00C433A2">
        <w:rPr>
          <w:rFonts w:ascii="Times New Roman" w:hAnsi="Times New Roman" w:cs="Times New Roman"/>
          <w:sz w:val="24"/>
          <w:szCs w:val="24"/>
          <w:lang w:val="en-US"/>
        </w:rPr>
        <w:t xml:space="preserve">.  </w:t>
      </w:r>
    </w:p>
    <w:p w:rsidR="009442E8" w:rsidRDefault="009442E8" w:rsidP="000B7E7F">
      <w:pPr>
        <w:spacing w:after="0" w:line="360" w:lineRule="auto"/>
        <w:jc w:val="both"/>
        <w:rPr>
          <w:rFonts w:ascii="Times New Roman" w:hAnsi="Times New Roman" w:cs="Times New Roman"/>
          <w:sz w:val="24"/>
          <w:szCs w:val="24"/>
          <w:lang w:val="en-US"/>
        </w:rPr>
      </w:pPr>
    </w:p>
    <w:p w:rsidR="00674581" w:rsidRDefault="00161B2A"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respect of the deaths that would have occurred under a mitigation policy, </w:t>
      </w:r>
      <w:r w:rsidR="001D1A4A">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Blakely et al (2020) forecasts are displaced by </w:t>
      </w:r>
      <w:r w:rsidR="00D8622D">
        <w:rPr>
          <w:rFonts w:ascii="Times New Roman" w:hAnsi="Times New Roman" w:cs="Times New Roman"/>
          <w:sz w:val="24"/>
          <w:szCs w:val="24"/>
          <w:lang w:val="en-US"/>
        </w:rPr>
        <w:t xml:space="preserve">estimates from the </w:t>
      </w:r>
      <w:r w:rsidR="00D00166">
        <w:rPr>
          <w:rFonts w:ascii="Times New Roman" w:hAnsi="Times New Roman" w:cs="Times New Roman"/>
          <w:sz w:val="24"/>
          <w:szCs w:val="24"/>
          <w:lang w:val="en-US"/>
        </w:rPr>
        <w:t xml:space="preserve">actual </w:t>
      </w:r>
      <w:r w:rsidR="009442E8">
        <w:rPr>
          <w:rFonts w:ascii="Times New Roman" w:hAnsi="Times New Roman" w:cs="Times New Roman"/>
          <w:sz w:val="24"/>
          <w:szCs w:val="24"/>
          <w:lang w:val="en-US"/>
        </w:rPr>
        <w:t xml:space="preserve">experience of other countries.  </w:t>
      </w:r>
      <w:r w:rsidR="00D17B8E">
        <w:rPr>
          <w:rFonts w:ascii="Times New Roman" w:hAnsi="Times New Roman" w:cs="Times New Roman"/>
          <w:sz w:val="24"/>
          <w:szCs w:val="24"/>
          <w:lang w:val="en-US"/>
        </w:rPr>
        <w:t xml:space="preserve">One </w:t>
      </w:r>
      <w:r w:rsidR="0028234A">
        <w:rPr>
          <w:rFonts w:ascii="Times New Roman" w:hAnsi="Times New Roman" w:cs="Times New Roman"/>
          <w:sz w:val="24"/>
          <w:szCs w:val="24"/>
          <w:lang w:val="en-US"/>
        </w:rPr>
        <w:t xml:space="preserve">such </w:t>
      </w:r>
      <w:r w:rsidR="00D17B8E">
        <w:rPr>
          <w:rFonts w:ascii="Times New Roman" w:hAnsi="Times New Roman" w:cs="Times New Roman"/>
          <w:sz w:val="24"/>
          <w:szCs w:val="24"/>
          <w:lang w:val="en-US"/>
        </w:rPr>
        <w:t>source of evidence is the variation in death rates between US counties that did and did not lockdown; Gibson (2020</w:t>
      </w:r>
      <w:r w:rsidR="00592DEB">
        <w:rPr>
          <w:rFonts w:ascii="Times New Roman" w:hAnsi="Times New Roman" w:cs="Times New Roman"/>
          <w:sz w:val="24"/>
          <w:szCs w:val="24"/>
          <w:lang w:val="en-US"/>
        </w:rPr>
        <w:t>a</w:t>
      </w:r>
      <w:r w:rsidR="00D17B8E">
        <w:rPr>
          <w:rFonts w:ascii="Times New Roman" w:hAnsi="Times New Roman" w:cs="Times New Roman"/>
          <w:sz w:val="24"/>
          <w:szCs w:val="24"/>
          <w:lang w:val="en-US"/>
        </w:rPr>
        <w:t>) finds no statistically significant difference, after controlling for v</w:t>
      </w:r>
      <w:r w:rsidR="00DE6CF2">
        <w:rPr>
          <w:rFonts w:ascii="Times New Roman" w:hAnsi="Times New Roman" w:cs="Times New Roman"/>
          <w:sz w:val="24"/>
          <w:szCs w:val="24"/>
          <w:lang w:val="en-US"/>
        </w:rPr>
        <w:t xml:space="preserve">arious other factors.  </w:t>
      </w:r>
      <w:r w:rsidR="0028234A">
        <w:rPr>
          <w:rFonts w:ascii="Times New Roman" w:hAnsi="Times New Roman" w:cs="Times New Roman"/>
          <w:sz w:val="24"/>
          <w:szCs w:val="24"/>
          <w:lang w:val="en-US"/>
        </w:rPr>
        <w:t xml:space="preserve">Another source of evidence is the </w:t>
      </w:r>
      <w:r w:rsidR="002E5F0A">
        <w:rPr>
          <w:rFonts w:ascii="Times New Roman" w:hAnsi="Times New Roman" w:cs="Times New Roman"/>
          <w:sz w:val="24"/>
          <w:szCs w:val="24"/>
          <w:lang w:val="en-US"/>
        </w:rPr>
        <w:t xml:space="preserve">timing of the death </w:t>
      </w:r>
      <w:r w:rsidR="002E5F0A">
        <w:rPr>
          <w:rFonts w:ascii="Times New Roman" w:hAnsi="Times New Roman" w:cs="Times New Roman"/>
          <w:sz w:val="24"/>
          <w:szCs w:val="24"/>
          <w:lang w:val="en-US"/>
        </w:rPr>
        <w:lastRenderedPageBreak/>
        <w:t xml:space="preserve">peaks relative to the timing of the lockdowns, in various countries </w:t>
      </w:r>
      <w:r w:rsidR="008F1446">
        <w:rPr>
          <w:rFonts w:ascii="Times New Roman" w:hAnsi="Times New Roman" w:cs="Times New Roman"/>
          <w:sz w:val="24"/>
          <w:szCs w:val="24"/>
          <w:lang w:val="en-US"/>
        </w:rPr>
        <w:t xml:space="preserve">or regions </w:t>
      </w:r>
      <w:r w:rsidR="002E5F0A">
        <w:rPr>
          <w:rFonts w:ascii="Times New Roman" w:hAnsi="Times New Roman" w:cs="Times New Roman"/>
          <w:sz w:val="24"/>
          <w:szCs w:val="24"/>
          <w:lang w:val="en-US"/>
        </w:rPr>
        <w:t xml:space="preserve">that implemented lockdowns; Stone (2020) </w:t>
      </w:r>
      <w:r w:rsidR="008F1446">
        <w:rPr>
          <w:rFonts w:ascii="Times New Roman" w:hAnsi="Times New Roman" w:cs="Times New Roman"/>
          <w:sz w:val="24"/>
          <w:szCs w:val="24"/>
          <w:lang w:val="en-US"/>
        </w:rPr>
        <w:t xml:space="preserve">examines Spain, France and Lombardy and </w:t>
      </w:r>
      <w:r w:rsidR="002E5F0A">
        <w:rPr>
          <w:rFonts w:ascii="Times New Roman" w:hAnsi="Times New Roman" w:cs="Times New Roman"/>
          <w:sz w:val="24"/>
          <w:szCs w:val="24"/>
          <w:lang w:val="en-US"/>
        </w:rPr>
        <w:t xml:space="preserve">finds </w:t>
      </w:r>
      <w:r w:rsidR="008F1446">
        <w:rPr>
          <w:rFonts w:ascii="Times New Roman" w:hAnsi="Times New Roman" w:cs="Times New Roman"/>
          <w:sz w:val="24"/>
          <w:szCs w:val="24"/>
          <w:lang w:val="en-US"/>
        </w:rPr>
        <w:t xml:space="preserve">in all three cases </w:t>
      </w:r>
      <w:r w:rsidR="002E5F0A">
        <w:rPr>
          <w:rFonts w:ascii="Times New Roman" w:hAnsi="Times New Roman" w:cs="Times New Roman"/>
          <w:sz w:val="24"/>
          <w:szCs w:val="24"/>
          <w:lang w:val="en-US"/>
        </w:rPr>
        <w:t xml:space="preserve">that these intervals are shorter than the minimum 20 day period between </w:t>
      </w:r>
      <w:r w:rsidR="004117BB">
        <w:rPr>
          <w:rFonts w:ascii="Times New Roman" w:hAnsi="Times New Roman" w:cs="Times New Roman"/>
          <w:sz w:val="24"/>
          <w:szCs w:val="24"/>
          <w:lang w:val="en-US"/>
        </w:rPr>
        <w:t xml:space="preserve">infection and death, </w:t>
      </w:r>
      <w:r w:rsidR="00C1751D">
        <w:rPr>
          <w:rFonts w:ascii="Times New Roman" w:hAnsi="Times New Roman" w:cs="Times New Roman"/>
          <w:sz w:val="24"/>
          <w:szCs w:val="24"/>
          <w:lang w:val="en-US"/>
        </w:rPr>
        <w:t>which implies that the lockdowns did not induce the reduction in the death rate</w:t>
      </w:r>
      <w:r w:rsidR="008716F0">
        <w:rPr>
          <w:rFonts w:ascii="Times New Roman" w:hAnsi="Times New Roman" w:cs="Times New Roman"/>
          <w:sz w:val="24"/>
          <w:szCs w:val="24"/>
          <w:lang w:val="en-US"/>
        </w:rPr>
        <w:t xml:space="preserve"> and therefore at most enhanced the rate of decline</w:t>
      </w:r>
      <w:r w:rsidR="002E5F0A">
        <w:rPr>
          <w:rFonts w:ascii="Times New Roman" w:hAnsi="Times New Roman" w:cs="Times New Roman"/>
          <w:sz w:val="24"/>
          <w:szCs w:val="24"/>
          <w:lang w:val="en-US"/>
        </w:rPr>
        <w:t xml:space="preserve">.  </w:t>
      </w:r>
      <w:r w:rsidR="00674581">
        <w:rPr>
          <w:rFonts w:ascii="Times New Roman" w:hAnsi="Times New Roman" w:cs="Times New Roman"/>
          <w:sz w:val="24"/>
          <w:szCs w:val="24"/>
          <w:lang w:val="en-US"/>
        </w:rPr>
        <w:t xml:space="preserve">Similarly, Homburg (2020) uses death data to estimate the peak of the curve for nine countries, of which seven adopted lockdowns.  For each country, he deducts 23 days from the death peak to determine the infection peak (because the interval from infection to death is about 23 days), and then compares this infection peak to the timing of the lockdowns.  </w:t>
      </w:r>
      <w:r w:rsidR="008716F0">
        <w:rPr>
          <w:rFonts w:ascii="Times New Roman" w:hAnsi="Times New Roman" w:cs="Times New Roman"/>
          <w:sz w:val="24"/>
          <w:szCs w:val="24"/>
          <w:lang w:val="en-US"/>
        </w:rPr>
        <w:t>In all countries which adopted lockdowns, the lockdown occurred after the infection peak, with a median difference of four days (ibid, Table 2).  Again, this reveals that the lockdowns did not cause the decline in the deaths and therefore at most enhanced the rate of decline.</w:t>
      </w:r>
      <w:r w:rsidR="00EB0D78">
        <w:rPr>
          <w:rFonts w:ascii="Times New Roman" w:hAnsi="Times New Roman" w:cs="Times New Roman"/>
          <w:sz w:val="24"/>
          <w:szCs w:val="24"/>
          <w:lang w:val="en-US"/>
        </w:rPr>
        <w:t xml:space="preserve">  Gibson (2020b, pp. 3-5) extends this analysis to the 34 OECD countries and uses a longer time period to estimate the peak infection date, and finds that this peak predates the maximum stringency of their restrictions in half of these countries.</w:t>
      </w:r>
    </w:p>
    <w:p w:rsidR="00674581" w:rsidRDefault="00674581" w:rsidP="000B7E7F">
      <w:pPr>
        <w:spacing w:after="0" w:line="360" w:lineRule="auto"/>
        <w:jc w:val="both"/>
        <w:rPr>
          <w:rFonts w:ascii="Times New Roman" w:hAnsi="Times New Roman" w:cs="Times New Roman"/>
          <w:sz w:val="24"/>
          <w:szCs w:val="24"/>
          <w:lang w:val="en-US"/>
        </w:rPr>
      </w:pPr>
    </w:p>
    <w:p w:rsidR="00C62A0A" w:rsidRDefault="00171453"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more direct </w:t>
      </w:r>
      <w:r w:rsidR="00D17B8E">
        <w:rPr>
          <w:rFonts w:ascii="Times New Roman" w:hAnsi="Times New Roman" w:cs="Times New Roman"/>
          <w:sz w:val="24"/>
          <w:szCs w:val="24"/>
          <w:lang w:val="en-US"/>
        </w:rPr>
        <w:t xml:space="preserve">source of evidence is variation </w:t>
      </w:r>
      <w:r w:rsidR="00F22E52">
        <w:rPr>
          <w:rFonts w:ascii="Times New Roman" w:hAnsi="Times New Roman" w:cs="Times New Roman"/>
          <w:sz w:val="24"/>
          <w:szCs w:val="24"/>
          <w:lang w:val="en-US"/>
        </w:rPr>
        <w:t xml:space="preserve">in death rates </w:t>
      </w:r>
      <w:r w:rsidR="00D17B8E">
        <w:rPr>
          <w:rFonts w:ascii="Times New Roman" w:hAnsi="Times New Roman" w:cs="Times New Roman"/>
          <w:sz w:val="24"/>
          <w:szCs w:val="24"/>
          <w:lang w:val="en-US"/>
        </w:rPr>
        <w:t xml:space="preserve">across countries </w:t>
      </w:r>
      <w:r w:rsidR="00C62A0A">
        <w:rPr>
          <w:rFonts w:ascii="Times New Roman" w:hAnsi="Times New Roman" w:cs="Times New Roman"/>
          <w:sz w:val="24"/>
          <w:szCs w:val="24"/>
          <w:lang w:val="en-US"/>
        </w:rPr>
        <w:t>that did and did not lockdown.  Chaud</w:t>
      </w:r>
      <w:r w:rsidR="00E61F50">
        <w:rPr>
          <w:rFonts w:ascii="Times New Roman" w:hAnsi="Times New Roman" w:cs="Times New Roman"/>
          <w:sz w:val="24"/>
          <w:szCs w:val="24"/>
          <w:lang w:val="en-US"/>
        </w:rPr>
        <w:t>h</w:t>
      </w:r>
      <w:r w:rsidR="00C62A0A">
        <w:rPr>
          <w:rFonts w:ascii="Times New Roman" w:hAnsi="Times New Roman" w:cs="Times New Roman"/>
          <w:sz w:val="24"/>
          <w:szCs w:val="24"/>
          <w:lang w:val="en-US"/>
        </w:rPr>
        <w:t>ry et al (2020) examine the 50 countries with the highest case counts as at 1 April, and regress</w:t>
      </w:r>
      <w:r w:rsidR="00836867">
        <w:rPr>
          <w:rFonts w:ascii="Times New Roman" w:hAnsi="Times New Roman" w:cs="Times New Roman"/>
          <w:sz w:val="24"/>
          <w:szCs w:val="24"/>
          <w:lang w:val="en-US"/>
        </w:rPr>
        <w:t>es</w:t>
      </w:r>
      <w:r w:rsidR="00C62A0A">
        <w:rPr>
          <w:rFonts w:ascii="Times New Roman" w:hAnsi="Times New Roman" w:cs="Times New Roman"/>
          <w:sz w:val="24"/>
          <w:szCs w:val="24"/>
          <w:lang w:val="en-US"/>
        </w:rPr>
        <w:t xml:space="preserve"> cross-country death rates per </w:t>
      </w:r>
      <w:r w:rsidR="00305A34">
        <w:rPr>
          <w:rFonts w:ascii="Times New Roman" w:hAnsi="Times New Roman" w:cs="Times New Roman"/>
          <w:sz w:val="24"/>
          <w:szCs w:val="24"/>
          <w:lang w:val="en-US"/>
        </w:rPr>
        <w:t xml:space="preserve">1m </w:t>
      </w:r>
      <w:r w:rsidR="00C62A0A">
        <w:rPr>
          <w:rFonts w:ascii="Times New Roman" w:hAnsi="Times New Roman" w:cs="Times New Roman"/>
          <w:sz w:val="24"/>
          <w:szCs w:val="24"/>
          <w:lang w:val="en-US"/>
        </w:rPr>
        <w:t>of population (up to 1 May)</w:t>
      </w:r>
      <w:r w:rsidR="00305A34">
        <w:rPr>
          <w:rFonts w:ascii="Times New Roman" w:hAnsi="Times New Roman" w:cs="Times New Roman"/>
          <w:sz w:val="24"/>
          <w:szCs w:val="24"/>
          <w:lang w:val="en-US"/>
        </w:rPr>
        <w:t xml:space="preserve"> on a number of independent variables, including various measures of </w:t>
      </w:r>
      <w:r w:rsidR="00EC5310">
        <w:rPr>
          <w:rFonts w:ascii="Times New Roman" w:hAnsi="Times New Roman" w:cs="Times New Roman"/>
          <w:sz w:val="24"/>
          <w:szCs w:val="24"/>
          <w:lang w:val="en-US"/>
        </w:rPr>
        <w:t xml:space="preserve">government intervention, and find that none of these </w:t>
      </w:r>
      <w:r w:rsidR="001D1A4A">
        <w:rPr>
          <w:rFonts w:ascii="Times New Roman" w:hAnsi="Times New Roman" w:cs="Times New Roman"/>
          <w:sz w:val="24"/>
          <w:szCs w:val="24"/>
          <w:lang w:val="en-US"/>
        </w:rPr>
        <w:t xml:space="preserve">latter variables </w:t>
      </w:r>
      <w:r w:rsidR="006600D7">
        <w:rPr>
          <w:rFonts w:ascii="Times New Roman" w:hAnsi="Times New Roman" w:cs="Times New Roman"/>
          <w:sz w:val="24"/>
          <w:szCs w:val="24"/>
          <w:lang w:val="en-US"/>
        </w:rPr>
        <w:t xml:space="preserve">were </w:t>
      </w:r>
      <w:r w:rsidR="00EC5310">
        <w:rPr>
          <w:rFonts w:ascii="Times New Roman" w:hAnsi="Times New Roman" w:cs="Times New Roman"/>
          <w:sz w:val="24"/>
          <w:szCs w:val="24"/>
          <w:lang w:val="en-US"/>
        </w:rPr>
        <w:t>statistically significant.</w:t>
      </w:r>
      <w:r w:rsidR="00C63B1D">
        <w:rPr>
          <w:rFonts w:ascii="Times New Roman" w:hAnsi="Times New Roman" w:cs="Times New Roman"/>
          <w:sz w:val="24"/>
          <w:szCs w:val="24"/>
          <w:lang w:val="en-US"/>
        </w:rPr>
        <w:t xml:space="preserve">  </w:t>
      </w:r>
      <w:r w:rsidR="00C63B1D" w:rsidRPr="00485B52">
        <w:rPr>
          <w:rFonts w:ascii="Times New Roman" w:hAnsi="Times New Roman" w:cs="Times New Roman"/>
          <w:sz w:val="24"/>
          <w:szCs w:val="24"/>
          <w:lang w:val="en-US"/>
        </w:rPr>
        <w:t>Gibson (2020</w:t>
      </w:r>
      <w:r w:rsidR="00C63B1D">
        <w:rPr>
          <w:rFonts w:ascii="Times New Roman" w:hAnsi="Times New Roman" w:cs="Times New Roman"/>
          <w:sz w:val="24"/>
          <w:szCs w:val="24"/>
          <w:lang w:val="en-US"/>
        </w:rPr>
        <w:t>b</w:t>
      </w:r>
      <w:r w:rsidR="00C63B1D" w:rsidRPr="00485B52">
        <w:rPr>
          <w:rFonts w:ascii="Times New Roman" w:hAnsi="Times New Roman" w:cs="Times New Roman"/>
          <w:sz w:val="24"/>
          <w:szCs w:val="24"/>
          <w:lang w:val="en-US"/>
        </w:rPr>
        <w:t xml:space="preserve">) </w:t>
      </w:r>
      <w:r w:rsidR="00C63B1D">
        <w:rPr>
          <w:rFonts w:ascii="Times New Roman" w:hAnsi="Times New Roman" w:cs="Times New Roman"/>
          <w:sz w:val="24"/>
          <w:szCs w:val="24"/>
          <w:lang w:val="en-US"/>
        </w:rPr>
        <w:t>conducts a similar analysis, using the 34 OECD member countries, death rates up to 18 August, and various independent variables including the average l</w:t>
      </w:r>
      <w:r w:rsidR="00CD3970">
        <w:rPr>
          <w:rFonts w:ascii="Times New Roman" w:hAnsi="Times New Roman" w:cs="Times New Roman"/>
          <w:sz w:val="24"/>
          <w:szCs w:val="24"/>
          <w:lang w:val="en-US"/>
        </w:rPr>
        <w:t>evel of government restrictions</w:t>
      </w:r>
      <w:r w:rsidR="0095696F">
        <w:rPr>
          <w:rFonts w:ascii="Times New Roman" w:hAnsi="Times New Roman" w:cs="Times New Roman"/>
          <w:sz w:val="24"/>
          <w:szCs w:val="24"/>
          <w:lang w:val="en-US"/>
        </w:rPr>
        <w:t xml:space="preserve"> over the period of the crisis</w:t>
      </w:r>
      <w:r w:rsidR="00CD3970">
        <w:rPr>
          <w:rFonts w:ascii="Times New Roman" w:hAnsi="Times New Roman" w:cs="Times New Roman"/>
          <w:sz w:val="24"/>
          <w:szCs w:val="24"/>
          <w:lang w:val="en-US"/>
        </w:rPr>
        <w:t>.</w:t>
      </w:r>
      <w:r w:rsidR="00C63B1D">
        <w:rPr>
          <w:rFonts w:ascii="Times New Roman" w:hAnsi="Times New Roman" w:cs="Times New Roman"/>
          <w:sz w:val="24"/>
          <w:szCs w:val="24"/>
          <w:lang w:val="en-US"/>
        </w:rPr>
        <w:t xml:space="preserve"> </w:t>
      </w:r>
      <w:r w:rsidR="00C63B1D">
        <w:rPr>
          <w:rStyle w:val="FootnoteReference"/>
          <w:rFonts w:ascii="Times New Roman" w:hAnsi="Times New Roman" w:cs="Times New Roman"/>
          <w:sz w:val="24"/>
          <w:szCs w:val="24"/>
          <w:lang w:val="en-US"/>
        </w:rPr>
        <w:footnoteReference w:id="12"/>
      </w:r>
      <w:r w:rsidR="00C63B1D">
        <w:rPr>
          <w:rFonts w:ascii="Times New Roman" w:hAnsi="Times New Roman" w:cs="Times New Roman"/>
          <w:sz w:val="24"/>
          <w:szCs w:val="24"/>
          <w:lang w:val="en-US"/>
        </w:rPr>
        <w:t xml:space="preserve">  </w:t>
      </w:r>
      <w:r w:rsidR="00CD3970">
        <w:rPr>
          <w:rFonts w:ascii="Times New Roman" w:hAnsi="Times New Roman" w:cs="Times New Roman"/>
          <w:sz w:val="24"/>
          <w:szCs w:val="24"/>
          <w:lang w:val="en-US"/>
        </w:rPr>
        <w:t xml:space="preserve">He </w:t>
      </w:r>
      <w:r w:rsidR="00C63B1D">
        <w:rPr>
          <w:rFonts w:ascii="Times New Roman" w:hAnsi="Times New Roman" w:cs="Times New Roman"/>
          <w:sz w:val="24"/>
          <w:szCs w:val="24"/>
          <w:lang w:val="en-US"/>
        </w:rPr>
        <w:t xml:space="preserve">finds that policy stringency (averaged over the whole crisis period) is not statistically significant in explaining cross-country variation in death rates (ibid, Table 2).  He also examines average stringency both before and after the estimated infection peak for each country, and finds mild statistical significance for average stringency prior to the estimated infection peak along with a negative coefficient (ibid, Table 2).  However, using that estimated coefficient, the estimated saving in lives lost from New Zealand instead adopting </w:t>
      </w:r>
      <w:r w:rsidR="006F26F5">
        <w:rPr>
          <w:rFonts w:ascii="Times New Roman" w:hAnsi="Times New Roman" w:cs="Times New Roman"/>
          <w:sz w:val="24"/>
          <w:szCs w:val="24"/>
          <w:lang w:val="en-US"/>
        </w:rPr>
        <w:t xml:space="preserve">restrictions at the </w:t>
      </w:r>
      <w:r w:rsidR="00C63B1D">
        <w:rPr>
          <w:rFonts w:ascii="Times New Roman" w:hAnsi="Times New Roman" w:cs="Times New Roman"/>
          <w:sz w:val="24"/>
          <w:szCs w:val="24"/>
          <w:lang w:val="en-US"/>
        </w:rPr>
        <w:t xml:space="preserve">Swedish </w:t>
      </w:r>
      <w:r w:rsidR="006F26F5">
        <w:rPr>
          <w:rFonts w:ascii="Times New Roman" w:hAnsi="Times New Roman" w:cs="Times New Roman"/>
          <w:sz w:val="24"/>
          <w:szCs w:val="24"/>
          <w:lang w:val="en-US"/>
        </w:rPr>
        <w:t xml:space="preserve">level </w:t>
      </w:r>
      <w:r w:rsidR="00C63B1D">
        <w:rPr>
          <w:rFonts w:ascii="Times New Roman" w:hAnsi="Times New Roman" w:cs="Times New Roman"/>
          <w:sz w:val="24"/>
          <w:szCs w:val="24"/>
          <w:lang w:val="en-US"/>
        </w:rPr>
        <w:t xml:space="preserve">would have been only 310 (ibid, page 6).  He also uses average stringency in other countries within the same OECD group as </w:t>
      </w:r>
      <w:r w:rsidR="00C63B1D">
        <w:rPr>
          <w:rFonts w:ascii="Times New Roman" w:hAnsi="Times New Roman" w:cs="Times New Roman"/>
          <w:sz w:val="24"/>
          <w:szCs w:val="24"/>
          <w:lang w:val="en-US"/>
        </w:rPr>
        <w:lastRenderedPageBreak/>
        <w:t>an instrumental variable, to test for reverse causality between stringency and death rates, and finds no evidence of rever</w:t>
      </w:r>
      <w:r w:rsidR="00CD3970">
        <w:rPr>
          <w:rFonts w:ascii="Times New Roman" w:hAnsi="Times New Roman" w:cs="Times New Roman"/>
          <w:sz w:val="24"/>
          <w:szCs w:val="24"/>
          <w:lang w:val="en-US"/>
        </w:rPr>
        <w:t>se causality.</w:t>
      </w:r>
    </w:p>
    <w:p w:rsidR="00C62A0A" w:rsidRDefault="00C62A0A" w:rsidP="000B7E7F">
      <w:pPr>
        <w:spacing w:after="0" w:line="360" w:lineRule="auto"/>
        <w:jc w:val="both"/>
        <w:rPr>
          <w:rFonts w:ascii="Times New Roman" w:hAnsi="Times New Roman" w:cs="Times New Roman"/>
          <w:sz w:val="24"/>
          <w:szCs w:val="24"/>
          <w:lang w:val="en-US"/>
        </w:rPr>
      </w:pPr>
    </w:p>
    <w:p w:rsidR="006F686D" w:rsidRDefault="00804186"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Appendix 1 </w:t>
      </w:r>
      <w:r w:rsidR="00403657">
        <w:rPr>
          <w:rFonts w:ascii="Times New Roman" w:hAnsi="Times New Roman" w:cs="Times New Roman"/>
          <w:sz w:val="24"/>
          <w:szCs w:val="24"/>
          <w:lang w:val="en-US"/>
        </w:rPr>
        <w:t xml:space="preserve">further </w:t>
      </w:r>
      <w:r>
        <w:rPr>
          <w:rFonts w:ascii="Times New Roman" w:hAnsi="Times New Roman" w:cs="Times New Roman"/>
          <w:sz w:val="24"/>
          <w:szCs w:val="24"/>
          <w:lang w:val="en-US"/>
        </w:rPr>
        <w:t xml:space="preserve">examines this issue </w:t>
      </w:r>
      <w:r w:rsidR="00CE56A3">
        <w:rPr>
          <w:rFonts w:ascii="Times New Roman" w:hAnsi="Times New Roman" w:cs="Times New Roman"/>
          <w:sz w:val="24"/>
          <w:szCs w:val="24"/>
          <w:lang w:val="en-US"/>
        </w:rPr>
        <w:t>using data to 30</w:t>
      </w:r>
      <w:r w:rsidR="00DF71D1">
        <w:rPr>
          <w:rFonts w:ascii="Times New Roman" w:hAnsi="Times New Roman" w:cs="Times New Roman"/>
          <w:sz w:val="24"/>
          <w:szCs w:val="24"/>
          <w:lang w:val="en-US"/>
        </w:rPr>
        <w:t xml:space="preserve"> November </w:t>
      </w:r>
      <w:r>
        <w:rPr>
          <w:rFonts w:ascii="Times New Roman" w:hAnsi="Times New Roman" w:cs="Times New Roman"/>
          <w:sz w:val="24"/>
          <w:szCs w:val="24"/>
          <w:lang w:val="en-US"/>
        </w:rPr>
        <w:t xml:space="preserve">and concludes that </w:t>
      </w:r>
      <w:r w:rsidR="00B308EE">
        <w:rPr>
          <w:rFonts w:ascii="Times New Roman" w:hAnsi="Times New Roman" w:cs="Times New Roman"/>
          <w:sz w:val="24"/>
          <w:szCs w:val="24"/>
          <w:lang w:val="en-US"/>
        </w:rPr>
        <w:t xml:space="preserve">the </w:t>
      </w:r>
      <w:r w:rsidR="00B506C0">
        <w:rPr>
          <w:rFonts w:ascii="Times New Roman" w:hAnsi="Times New Roman" w:cs="Times New Roman"/>
          <w:sz w:val="24"/>
          <w:szCs w:val="24"/>
          <w:lang w:val="en-US"/>
        </w:rPr>
        <w:t xml:space="preserve">expected </w:t>
      </w:r>
      <w:r w:rsidR="00B308EE">
        <w:rPr>
          <w:rFonts w:ascii="Times New Roman" w:hAnsi="Times New Roman" w:cs="Times New Roman"/>
          <w:sz w:val="24"/>
          <w:szCs w:val="24"/>
          <w:lang w:val="en-US"/>
        </w:rPr>
        <w:t xml:space="preserve">increase in New Zealand’s death </w:t>
      </w:r>
      <w:r w:rsidR="00B506C0">
        <w:rPr>
          <w:rFonts w:ascii="Times New Roman" w:hAnsi="Times New Roman" w:cs="Times New Roman"/>
          <w:sz w:val="24"/>
          <w:szCs w:val="24"/>
          <w:lang w:val="en-US"/>
        </w:rPr>
        <w:t xml:space="preserve">rate per 1m </w:t>
      </w:r>
      <w:r w:rsidR="00B308EE">
        <w:rPr>
          <w:rFonts w:ascii="Times New Roman" w:hAnsi="Times New Roman" w:cs="Times New Roman"/>
          <w:sz w:val="24"/>
          <w:szCs w:val="24"/>
          <w:lang w:val="en-US"/>
        </w:rPr>
        <w:t>from movin</w:t>
      </w:r>
      <w:r>
        <w:rPr>
          <w:rFonts w:ascii="Times New Roman" w:hAnsi="Times New Roman" w:cs="Times New Roman"/>
          <w:sz w:val="24"/>
          <w:szCs w:val="24"/>
          <w:lang w:val="en-US"/>
        </w:rPr>
        <w:t>g from its lockdown policy</w:t>
      </w:r>
      <w:r w:rsidR="00B308EE">
        <w:rPr>
          <w:rFonts w:ascii="Times New Roman" w:hAnsi="Times New Roman" w:cs="Times New Roman"/>
          <w:sz w:val="24"/>
          <w:szCs w:val="24"/>
          <w:lang w:val="en-US"/>
        </w:rPr>
        <w:t xml:space="preserve"> to a mitigation policy like </w:t>
      </w:r>
      <w:r w:rsidR="00CF3C26">
        <w:rPr>
          <w:rFonts w:ascii="Times New Roman" w:hAnsi="Times New Roman" w:cs="Times New Roman"/>
          <w:sz w:val="24"/>
          <w:szCs w:val="24"/>
          <w:lang w:val="en-US"/>
        </w:rPr>
        <w:t>that of the least stringent</w:t>
      </w:r>
      <w:r w:rsidR="00744FAE">
        <w:rPr>
          <w:rFonts w:ascii="Times New Roman" w:hAnsi="Times New Roman" w:cs="Times New Roman"/>
          <w:sz w:val="24"/>
          <w:szCs w:val="24"/>
          <w:lang w:val="en-US"/>
        </w:rPr>
        <w:t xml:space="preserve"> European country (Iceland</w:t>
      </w:r>
      <w:r w:rsidR="00CF3C26">
        <w:rPr>
          <w:rFonts w:ascii="Times New Roman" w:hAnsi="Times New Roman" w:cs="Times New Roman"/>
          <w:sz w:val="24"/>
          <w:szCs w:val="24"/>
          <w:lang w:val="en-US"/>
        </w:rPr>
        <w:t xml:space="preserve">) </w:t>
      </w:r>
      <w:r w:rsidR="00B506C0">
        <w:rPr>
          <w:rFonts w:ascii="Times New Roman" w:hAnsi="Times New Roman" w:cs="Times New Roman"/>
          <w:sz w:val="24"/>
          <w:szCs w:val="24"/>
          <w:lang w:val="en-US"/>
        </w:rPr>
        <w:t xml:space="preserve">is </w:t>
      </w:r>
      <w:r w:rsidR="00E00907">
        <w:rPr>
          <w:rFonts w:ascii="Times New Roman" w:hAnsi="Times New Roman" w:cs="Times New Roman"/>
          <w:sz w:val="24"/>
          <w:szCs w:val="24"/>
          <w:lang w:val="en-US"/>
        </w:rPr>
        <w:t xml:space="preserve">no more than </w:t>
      </w:r>
      <w:r w:rsidR="00744FAE">
        <w:rPr>
          <w:rFonts w:ascii="Times New Roman" w:hAnsi="Times New Roman" w:cs="Times New Roman"/>
          <w:sz w:val="24"/>
          <w:szCs w:val="24"/>
          <w:lang w:val="en-US"/>
        </w:rPr>
        <w:t>317</w:t>
      </w:r>
      <w:r w:rsidR="00E00907" w:rsidRPr="00847937">
        <w:rPr>
          <w:rFonts w:ascii="Times New Roman" w:hAnsi="Times New Roman" w:cs="Times New Roman"/>
          <w:i/>
          <w:sz w:val="24"/>
          <w:szCs w:val="24"/>
          <w:lang w:val="en-US"/>
        </w:rPr>
        <w:t>N</w:t>
      </w:r>
      <w:r w:rsidR="00744FAE">
        <w:rPr>
          <w:rFonts w:ascii="Times New Roman" w:hAnsi="Times New Roman" w:cs="Times New Roman"/>
          <w:i/>
          <w:sz w:val="24"/>
          <w:szCs w:val="24"/>
          <w:lang w:val="en-US"/>
        </w:rPr>
        <w:t xml:space="preserve"> </w:t>
      </w:r>
      <w:r w:rsidR="00744FAE" w:rsidRPr="00744FAE">
        <w:rPr>
          <w:rFonts w:ascii="Times New Roman" w:hAnsi="Times New Roman" w:cs="Times New Roman"/>
          <w:sz w:val="24"/>
          <w:szCs w:val="24"/>
          <w:lang w:val="en-US"/>
        </w:rPr>
        <w:t>- 5</w:t>
      </w:r>
      <w:r w:rsidR="00E00907">
        <w:rPr>
          <w:rFonts w:ascii="Times New Roman" w:hAnsi="Times New Roman" w:cs="Times New Roman"/>
          <w:sz w:val="24"/>
          <w:szCs w:val="24"/>
          <w:lang w:val="en-US"/>
        </w:rPr>
        <w:t xml:space="preserve">, where 317 is the upper bound on the 95% CI from the New Zealand death rate under </w:t>
      </w:r>
      <w:r w:rsidR="00744FAE">
        <w:rPr>
          <w:rFonts w:ascii="Times New Roman" w:hAnsi="Times New Roman" w:cs="Times New Roman"/>
          <w:sz w:val="24"/>
          <w:szCs w:val="24"/>
          <w:lang w:val="en-US"/>
        </w:rPr>
        <w:t xml:space="preserve">a </w:t>
      </w:r>
      <w:r w:rsidR="00E00907">
        <w:rPr>
          <w:rFonts w:ascii="Times New Roman" w:hAnsi="Times New Roman" w:cs="Times New Roman"/>
          <w:sz w:val="24"/>
          <w:szCs w:val="24"/>
          <w:lang w:val="en-US"/>
        </w:rPr>
        <w:t xml:space="preserve">mitigation </w:t>
      </w:r>
      <w:r w:rsidR="00744FAE">
        <w:rPr>
          <w:rFonts w:ascii="Times New Roman" w:hAnsi="Times New Roman" w:cs="Times New Roman"/>
          <w:sz w:val="24"/>
          <w:szCs w:val="24"/>
          <w:lang w:val="en-US"/>
        </w:rPr>
        <w:t xml:space="preserve">policy </w:t>
      </w:r>
      <w:r w:rsidR="00E00907">
        <w:rPr>
          <w:rFonts w:ascii="Times New Roman" w:hAnsi="Times New Roman" w:cs="Times New Roman"/>
          <w:sz w:val="24"/>
          <w:szCs w:val="24"/>
          <w:lang w:val="en-US"/>
        </w:rPr>
        <w:t xml:space="preserve">up to 30 November, </w:t>
      </w:r>
      <w:r w:rsidR="00E00907" w:rsidRPr="00847937">
        <w:rPr>
          <w:rFonts w:ascii="Times New Roman" w:hAnsi="Times New Roman" w:cs="Times New Roman"/>
          <w:i/>
          <w:sz w:val="24"/>
          <w:szCs w:val="24"/>
          <w:lang w:val="en-US"/>
        </w:rPr>
        <w:t>N</w:t>
      </w:r>
      <w:r w:rsidR="00E00907">
        <w:rPr>
          <w:rFonts w:ascii="Times New Roman" w:hAnsi="Times New Roman" w:cs="Times New Roman"/>
          <w:sz w:val="24"/>
          <w:szCs w:val="24"/>
          <w:lang w:val="en-US"/>
        </w:rPr>
        <w:t xml:space="preserve"> is the ratio of the cross-country average death rate for European countries at the termination of this pandemic to the current </w:t>
      </w:r>
      <w:r w:rsidR="00847937">
        <w:rPr>
          <w:rFonts w:ascii="Times New Roman" w:hAnsi="Times New Roman" w:cs="Times New Roman"/>
          <w:sz w:val="24"/>
          <w:szCs w:val="24"/>
          <w:lang w:val="en-US"/>
        </w:rPr>
        <w:t xml:space="preserve">(30 November) </w:t>
      </w:r>
      <w:r w:rsidR="00744FAE">
        <w:rPr>
          <w:rFonts w:ascii="Times New Roman" w:hAnsi="Times New Roman" w:cs="Times New Roman"/>
          <w:sz w:val="24"/>
          <w:szCs w:val="24"/>
          <w:lang w:val="en-US"/>
        </w:rPr>
        <w:t>average</w:t>
      </w:r>
      <w:r w:rsidR="00E00907">
        <w:rPr>
          <w:rFonts w:ascii="Times New Roman" w:hAnsi="Times New Roman" w:cs="Times New Roman"/>
          <w:sz w:val="24"/>
          <w:szCs w:val="24"/>
          <w:lang w:val="en-US"/>
        </w:rPr>
        <w:t xml:space="preserve">, and 5 is the New Zealand death rate to date (30 November) from its lockdown policy.  </w:t>
      </w:r>
      <w:r w:rsidR="00B506C0">
        <w:rPr>
          <w:rFonts w:ascii="Times New Roman" w:hAnsi="Times New Roman" w:cs="Times New Roman"/>
          <w:sz w:val="24"/>
          <w:szCs w:val="24"/>
          <w:lang w:val="en-US"/>
        </w:rPr>
        <w:t>To a close approximation, this is 312</w:t>
      </w:r>
      <w:r w:rsidR="00B506C0" w:rsidRPr="00B506C0">
        <w:rPr>
          <w:rFonts w:ascii="Times New Roman" w:hAnsi="Times New Roman" w:cs="Times New Roman"/>
          <w:i/>
          <w:sz w:val="24"/>
          <w:szCs w:val="24"/>
          <w:lang w:val="en-US"/>
        </w:rPr>
        <w:t>N</w:t>
      </w:r>
      <w:r w:rsidR="00B506C0">
        <w:rPr>
          <w:rFonts w:ascii="Times New Roman" w:hAnsi="Times New Roman" w:cs="Times New Roman"/>
          <w:sz w:val="24"/>
          <w:szCs w:val="24"/>
          <w:lang w:val="en-US"/>
        </w:rPr>
        <w:t xml:space="preserve">.  Since New Zealand has 5m people, the expected deaths avoided </w:t>
      </w:r>
      <w:r w:rsidR="00744FAE">
        <w:rPr>
          <w:rFonts w:ascii="Times New Roman" w:hAnsi="Times New Roman" w:cs="Times New Roman"/>
          <w:sz w:val="24"/>
          <w:szCs w:val="24"/>
          <w:lang w:val="en-US"/>
        </w:rPr>
        <w:t xml:space="preserve">by lockdown </w:t>
      </w:r>
      <w:r w:rsidR="00B506C0">
        <w:rPr>
          <w:rFonts w:ascii="Times New Roman" w:hAnsi="Times New Roman" w:cs="Times New Roman"/>
          <w:sz w:val="24"/>
          <w:szCs w:val="24"/>
          <w:lang w:val="en-US"/>
        </w:rPr>
        <w:t>are up to 1,560</w:t>
      </w:r>
      <w:r w:rsidR="00B506C0" w:rsidRPr="00B506C0">
        <w:rPr>
          <w:rFonts w:ascii="Times New Roman" w:hAnsi="Times New Roman" w:cs="Times New Roman"/>
          <w:i/>
          <w:sz w:val="24"/>
          <w:szCs w:val="24"/>
          <w:lang w:val="en-US"/>
        </w:rPr>
        <w:t>N</w:t>
      </w:r>
      <w:r w:rsidR="00B506C0">
        <w:rPr>
          <w:rFonts w:ascii="Times New Roman" w:hAnsi="Times New Roman" w:cs="Times New Roman"/>
          <w:sz w:val="24"/>
          <w:szCs w:val="24"/>
          <w:lang w:val="en-US"/>
        </w:rPr>
        <w:t>.</w:t>
      </w:r>
    </w:p>
    <w:p w:rsidR="00E00907" w:rsidRDefault="00E00907" w:rsidP="000B7E7F">
      <w:pPr>
        <w:spacing w:after="0" w:line="360" w:lineRule="auto"/>
        <w:jc w:val="both"/>
        <w:rPr>
          <w:rFonts w:ascii="Times New Roman" w:hAnsi="Times New Roman" w:cs="Times New Roman"/>
          <w:sz w:val="24"/>
          <w:szCs w:val="24"/>
          <w:lang w:val="en-US"/>
        </w:rPr>
      </w:pPr>
    </w:p>
    <w:p w:rsidR="001E4050" w:rsidRDefault="003730C6"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estimates presume that Covid-19 deaths are accurately recorded.  However, some deaths may be mistakenly attributed to another cause, or mistakenly attributed to Covid-19, with the latter error possible simply because most victims have co-morbidities.  By analogy, </w:t>
      </w:r>
      <w:r w:rsidR="00C348B3">
        <w:rPr>
          <w:rFonts w:ascii="Times New Roman" w:hAnsi="Times New Roman" w:cs="Times New Roman"/>
          <w:sz w:val="24"/>
          <w:szCs w:val="24"/>
          <w:lang w:val="en-US"/>
        </w:rPr>
        <w:t xml:space="preserve">if a person is shot in the heart and then the head, </w:t>
      </w:r>
      <w:r w:rsidR="00C607D6">
        <w:rPr>
          <w:rFonts w:ascii="Times New Roman" w:hAnsi="Times New Roman" w:cs="Times New Roman"/>
          <w:sz w:val="24"/>
          <w:szCs w:val="24"/>
          <w:lang w:val="en-US"/>
        </w:rPr>
        <w:t xml:space="preserve">and then dies, </w:t>
      </w:r>
      <w:r>
        <w:rPr>
          <w:rFonts w:ascii="Times New Roman" w:hAnsi="Times New Roman" w:cs="Times New Roman"/>
          <w:sz w:val="24"/>
          <w:szCs w:val="24"/>
          <w:lang w:val="en-US"/>
        </w:rPr>
        <w:t xml:space="preserve">the cause of death may not be the </w:t>
      </w:r>
      <w:r w:rsidR="00C607D6">
        <w:rPr>
          <w:rFonts w:ascii="Times New Roman" w:hAnsi="Times New Roman" w:cs="Times New Roman"/>
          <w:sz w:val="24"/>
          <w:szCs w:val="24"/>
          <w:lang w:val="en-US"/>
        </w:rPr>
        <w:t>head shot</w:t>
      </w:r>
      <w:r w:rsidR="00C348B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addition, lockdown disrupts the normal operation of the health system, leading to some deaths in lockdown countries that would not otherwise have occurred, and these should be included in the incremental deaths from lockdown.  In addition, mitigation </w:t>
      </w:r>
      <w:r w:rsidR="00161B2A">
        <w:rPr>
          <w:rFonts w:ascii="Times New Roman" w:hAnsi="Times New Roman" w:cs="Times New Roman"/>
          <w:sz w:val="24"/>
          <w:szCs w:val="24"/>
          <w:lang w:val="en-US"/>
        </w:rPr>
        <w:t xml:space="preserve">increased </w:t>
      </w:r>
      <w:r>
        <w:rPr>
          <w:rFonts w:ascii="Times New Roman" w:hAnsi="Times New Roman" w:cs="Times New Roman"/>
          <w:sz w:val="24"/>
          <w:szCs w:val="24"/>
          <w:lang w:val="en-US"/>
        </w:rPr>
        <w:t xml:space="preserve">the load on hospitals, leading to more deaths from other causes in mitigation countries, and these should be included in the incremental deaths from mitigation.  </w:t>
      </w:r>
      <w:r w:rsidR="00EA43C8">
        <w:rPr>
          <w:rFonts w:ascii="Times New Roman" w:hAnsi="Times New Roman" w:cs="Times New Roman"/>
          <w:sz w:val="24"/>
          <w:szCs w:val="24"/>
          <w:lang w:val="en-US"/>
        </w:rPr>
        <w:t xml:space="preserve">An estimate of the Covid-19 deaths that accounts for all of these phenomena is the </w:t>
      </w:r>
      <w:r w:rsidR="00761BAB">
        <w:rPr>
          <w:rFonts w:ascii="Times New Roman" w:hAnsi="Times New Roman" w:cs="Times New Roman"/>
          <w:sz w:val="24"/>
          <w:szCs w:val="24"/>
          <w:lang w:val="en-US"/>
        </w:rPr>
        <w:t>actual deaths in 2020 less the predicted number sans Covid-19</w:t>
      </w:r>
      <w:r w:rsidR="00277905">
        <w:rPr>
          <w:rFonts w:ascii="Times New Roman" w:hAnsi="Times New Roman" w:cs="Times New Roman"/>
          <w:sz w:val="24"/>
          <w:szCs w:val="24"/>
          <w:lang w:val="en-US"/>
        </w:rPr>
        <w:t xml:space="preserve"> (“excess deaths”)</w:t>
      </w:r>
      <w:r w:rsidR="00761BAB">
        <w:rPr>
          <w:rFonts w:ascii="Times New Roman" w:hAnsi="Times New Roman" w:cs="Times New Roman"/>
          <w:sz w:val="24"/>
          <w:szCs w:val="24"/>
          <w:lang w:val="en-US"/>
        </w:rPr>
        <w:t xml:space="preserve">.  The </w:t>
      </w:r>
      <w:proofErr w:type="spellStart"/>
      <w:r w:rsidR="00761BAB">
        <w:rPr>
          <w:rFonts w:ascii="Times New Roman" w:hAnsi="Times New Roman" w:cs="Times New Roman"/>
          <w:sz w:val="24"/>
          <w:szCs w:val="24"/>
          <w:lang w:val="en-US"/>
        </w:rPr>
        <w:t>Euromomo</w:t>
      </w:r>
      <w:proofErr w:type="spellEnd"/>
      <w:r w:rsidR="00761BAB">
        <w:rPr>
          <w:rFonts w:ascii="Times New Roman" w:hAnsi="Times New Roman" w:cs="Times New Roman"/>
          <w:sz w:val="24"/>
          <w:szCs w:val="24"/>
          <w:lang w:val="en-US"/>
        </w:rPr>
        <w:t xml:space="preserve"> Network has done so</w:t>
      </w:r>
      <w:r w:rsidR="00641673">
        <w:rPr>
          <w:rFonts w:ascii="Times New Roman" w:hAnsi="Times New Roman" w:cs="Times New Roman"/>
          <w:sz w:val="24"/>
          <w:szCs w:val="24"/>
          <w:lang w:val="en-US"/>
        </w:rPr>
        <w:t xml:space="preserve"> </w:t>
      </w:r>
      <w:r w:rsidR="00761BAB">
        <w:rPr>
          <w:rFonts w:ascii="Times New Roman" w:hAnsi="Times New Roman" w:cs="Times New Roman"/>
          <w:sz w:val="24"/>
          <w:szCs w:val="24"/>
          <w:lang w:val="en-US"/>
        </w:rPr>
        <w:t xml:space="preserve">and estimated the number of deaths across 18 European countries progressively through 2020, 2019 and 2018 relative to a </w:t>
      </w:r>
      <w:r w:rsidR="00161B2A">
        <w:rPr>
          <w:rFonts w:ascii="Times New Roman" w:hAnsi="Times New Roman" w:cs="Times New Roman"/>
          <w:sz w:val="24"/>
          <w:szCs w:val="24"/>
          <w:lang w:val="en-US"/>
        </w:rPr>
        <w:t>prediction</w:t>
      </w:r>
      <w:r w:rsidR="001D07F4">
        <w:rPr>
          <w:rFonts w:ascii="Times New Roman" w:hAnsi="Times New Roman" w:cs="Times New Roman"/>
          <w:sz w:val="24"/>
          <w:szCs w:val="24"/>
          <w:lang w:val="en-US"/>
        </w:rPr>
        <w:t xml:space="preserve"> (“baseline”)</w:t>
      </w:r>
      <w:r w:rsidR="00761BAB">
        <w:rPr>
          <w:rFonts w:ascii="Times New Roman" w:hAnsi="Times New Roman" w:cs="Times New Roman"/>
          <w:sz w:val="24"/>
          <w:szCs w:val="24"/>
          <w:lang w:val="en-US"/>
        </w:rPr>
        <w:t xml:space="preserve">.  The excess </w:t>
      </w:r>
      <w:proofErr w:type="gramStart"/>
      <w:r w:rsidR="00761BAB">
        <w:rPr>
          <w:rFonts w:ascii="Times New Roman" w:hAnsi="Times New Roman" w:cs="Times New Roman"/>
          <w:sz w:val="24"/>
          <w:szCs w:val="24"/>
          <w:lang w:val="en-US"/>
        </w:rPr>
        <w:t xml:space="preserve">deaths </w:t>
      </w:r>
      <w:r w:rsidR="00EA43C8">
        <w:rPr>
          <w:rFonts w:ascii="Times New Roman" w:hAnsi="Times New Roman" w:cs="Times New Roman"/>
          <w:sz w:val="24"/>
          <w:szCs w:val="24"/>
          <w:lang w:val="en-US"/>
        </w:rPr>
        <w:t xml:space="preserve">to </w:t>
      </w:r>
      <w:r w:rsidR="00EC5300">
        <w:rPr>
          <w:rFonts w:ascii="Times New Roman" w:hAnsi="Times New Roman" w:cs="Times New Roman"/>
          <w:sz w:val="24"/>
          <w:szCs w:val="24"/>
          <w:lang w:val="en-US"/>
        </w:rPr>
        <w:t>15 September</w:t>
      </w:r>
      <w:r w:rsidR="00277905">
        <w:rPr>
          <w:rFonts w:ascii="Times New Roman" w:hAnsi="Times New Roman" w:cs="Times New Roman"/>
          <w:sz w:val="24"/>
          <w:szCs w:val="24"/>
          <w:lang w:val="en-US"/>
        </w:rPr>
        <w:t xml:space="preserve"> </w:t>
      </w:r>
      <w:r w:rsidR="00761BAB">
        <w:rPr>
          <w:rFonts w:ascii="Times New Roman" w:hAnsi="Times New Roman" w:cs="Times New Roman"/>
          <w:sz w:val="24"/>
          <w:szCs w:val="24"/>
          <w:lang w:val="en-US"/>
        </w:rPr>
        <w:t xml:space="preserve">relative to </w:t>
      </w:r>
      <w:r w:rsidR="00EA43C8">
        <w:rPr>
          <w:rFonts w:ascii="Times New Roman" w:hAnsi="Times New Roman" w:cs="Times New Roman"/>
          <w:sz w:val="24"/>
          <w:szCs w:val="24"/>
          <w:lang w:val="en-US"/>
        </w:rPr>
        <w:t xml:space="preserve">the </w:t>
      </w:r>
      <w:r w:rsidR="001D07F4">
        <w:rPr>
          <w:rFonts w:ascii="Times New Roman" w:hAnsi="Times New Roman" w:cs="Times New Roman"/>
          <w:sz w:val="24"/>
          <w:szCs w:val="24"/>
          <w:lang w:val="en-US"/>
        </w:rPr>
        <w:t xml:space="preserve">baseline </w:t>
      </w:r>
      <w:r w:rsidR="00161B2A">
        <w:rPr>
          <w:rFonts w:ascii="Times New Roman" w:hAnsi="Times New Roman" w:cs="Times New Roman"/>
          <w:sz w:val="24"/>
          <w:szCs w:val="24"/>
          <w:lang w:val="en-US"/>
        </w:rPr>
        <w:t>was</w:t>
      </w:r>
      <w:proofErr w:type="gramEnd"/>
      <w:r w:rsidR="00277905">
        <w:rPr>
          <w:rFonts w:ascii="Times New Roman" w:hAnsi="Times New Roman" w:cs="Times New Roman"/>
          <w:sz w:val="24"/>
          <w:szCs w:val="24"/>
          <w:lang w:val="en-US"/>
        </w:rPr>
        <w:t xml:space="preserve"> 21</w:t>
      </w:r>
      <w:r w:rsidR="00EA43C8">
        <w:rPr>
          <w:rFonts w:ascii="Times New Roman" w:hAnsi="Times New Roman" w:cs="Times New Roman"/>
          <w:sz w:val="24"/>
          <w:szCs w:val="24"/>
          <w:lang w:val="en-US"/>
        </w:rPr>
        <w:t xml:space="preserve">0,000 for 2020, </w:t>
      </w:r>
      <w:r w:rsidR="00277905">
        <w:rPr>
          <w:rFonts w:ascii="Times New Roman" w:hAnsi="Times New Roman" w:cs="Times New Roman"/>
          <w:sz w:val="24"/>
          <w:szCs w:val="24"/>
          <w:lang w:val="en-US"/>
        </w:rPr>
        <w:t xml:space="preserve">65,000 </w:t>
      </w:r>
      <w:r w:rsidR="00EA43C8">
        <w:rPr>
          <w:rFonts w:ascii="Times New Roman" w:hAnsi="Times New Roman" w:cs="Times New Roman"/>
          <w:sz w:val="24"/>
          <w:szCs w:val="24"/>
          <w:lang w:val="en-US"/>
        </w:rPr>
        <w:t xml:space="preserve">for 2019 and </w:t>
      </w:r>
      <w:r w:rsidR="00277905">
        <w:rPr>
          <w:rFonts w:ascii="Times New Roman" w:hAnsi="Times New Roman" w:cs="Times New Roman"/>
          <w:sz w:val="24"/>
          <w:szCs w:val="24"/>
          <w:lang w:val="en-US"/>
        </w:rPr>
        <w:t>120</w:t>
      </w:r>
      <w:r w:rsidR="00EA43C8">
        <w:rPr>
          <w:rFonts w:ascii="Times New Roman" w:hAnsi="Times New Roman" w:cs="Times New Roman"/>
          <w:sz w:val="24"/>
          <w:szCs w:val="24"/>
          <w:lang w:val="en-US"/>
        </w:rPr>
        <w:t>,000 for 2018</w:t>
      </w:r>
      <w:r w:rsidR="00AE5F0F">
        <w:rPr>
          <w:rFonts w:ascii="Times New Roman" w:hAnsi="Times New Roman" w:cs="Times New Roman"/>
          <w:sz w:val="24"/>
          <w:szCs w:val="24"/>
          <w:lang w:val="en-US"/>
        </w:rPr>
        <w:t>.</w:t>
      </w:r>
      <w:r w:rsidR="00AE5F0F">
        <w:rPr>
          <w:rStyle w:val="FootnoteReference"/>
          <w:rFonts w:ascii="Times New Roman" w:hAnsi="Times New Roman" w:cs="Times New Roman"/>
          <w:sz w:val="24"/>
          <w:szCs w:val="24"/>
          <w:lang w:val="en-US"/>
        </w:rPr>
        <w:footnoteReference w:id="13"/>
      </w:r>
      <w:r w:rsidR="00106B43">
        <w:rPr>
          <w:rFonts w:ascii="Times New Roman" w:hAnsi="Times New Roman" w:cs="Times New Roman"/>
          <w:sz w:val="24"/>
          <w:szCs w:val="24"/>
          <w:lang w:val="en-US"/>
        </w:rPr>
        <w:t xml:space="preserve">  By contrast, the deaths attributed to Covid-19 across these </w:t>
      </w:r>
      <w:r w:rsidR="00277905">
        <w:rPr>
          <w:rFonts w:ascii="Times New Roman" w:hAnsi="Times New Roman" w:cs="Times New Roman"/>
          <w:sz w:val="24"/>
          <w:szCs w:val="24"/>
          <w:lang w:val="en-US"/>
        </w:rPr>
        <w:t>18 countries (to 15 September) were 169,000</w:t>
      </w:r>
      <w:r w:rsidR="00624A03">
        <w:rPr>
          <w:rFonts w:ascii="Times New Roman" w:hAnsi="Times New Roman" w:cs="Times New Roman"/>
          <w:sz w:val="24"/>
          <w:szCs w:val="24"/>
          <w:lang w:val="en-US"/>
        </w:rPr>
        <w:t>.</w:t>
      </w:r>
      <w:r w:rsidR="004B2266">
        <w:rPr>
          <w:rStyle w:val="FootnoteReference"/>
          <w:rFonts w:ascii="Times New Roman" w:hAnsi="Times New Roman" w:cs="Times New Roman"/>
          <w:sz w:val="24"/>
          <w:szCs w:val="24"/>
          <w:lang w:val="en-US"/>
        </w:rPr>
        <w:footnoteReference w:id="14"/>
      </w:r>
      <w:r w:rsidR="00624A03">
        <w:rPr>
          <w:rFonts w:ascii="Times New Roman" w:hAnsi="Times New Roman" w:cs="Times New Roman"/>
          <w:sz w:val="24"/>
          <w:szCs w:val="24"/>
          <w:lang w:val="en-US"/>
        </w:rPr>
        <w:t xml:space="preserve">  Thus, </w:t>
      </w:r>
      <w:r w:rsidR="00947E14">
        <w:rPr>
          <w:rFonts w:ascii="Times New Roman" w:hAnsi="Times New Roman" w:cs="Times New Roman"/>
          <w:sz w:val="24"/>
          <w:szCs w:val="24"/>
          <w:lang w:val="en-US"/>
        </w:rPr>
        <w:t>if the baseline were</w:t>
      </w:r>
      <w:r w:rsidR="00277905">
        <w:rPr>
          <w:rFonts w:ascii="Times New Roman" w:hAnsi="Times New Roman" w:cs="Times New Roman"/>
          <w:sz w:val="24"/>
          <w:szCs w:val="24"/>
          <w:lang w:val="en-US"/>
        </w:rPr>
        <w:t xml:space="preserve"> used, </w:t>
      </w:r>
      <w:r w:rsidR="00624A03">
        <w:rPr>
          <w:rFonts w:ascii="Times New Roman" w:hAnsi="Times New Roman" w:cs="Times New Roman"/>
          <w:sz w:val="24"/>
          <w:szCs w:val="24"/>
          <w:lang w:val="en-US"/>
        </w:rPr>
        <w:t xml:space="preserve">the </w:t>
      </w:r>
      <w:r w:rsidR="00947E14">
        <w:rPr>
          <w:rFonts w:ascii="Times New Roman" w:hAnsi="Times New Roman" w:cs="Times New Roman"/>
          <w:sz w:val="24"/>
          <w:szCs w:val="24"/>
          <w:lang w:val="en-US"/>
        </w:rPr>
        <w:t xml:space="preserve">excess deaths </w:t>
      </w:r>
      <w:r w:rsidR="00277905">
        <w:rPr>
          <w:rFonts w:ascii="Times New Roman" w:hAnsi="Times New Roman" w:cs="Times New Roman"/>
          <w:sz w:val="24"/>
          <w:szCs w:val="24"/>
          <w:lang w:val="en-US"/>
        </w:rPr>
        <w:t xml:space="preserve">in 2020 </w:t>
      </w:r>
      <w:r w:rsidR="00947E14">
        <w:rPr>
          <w:rFonts w:ascii="Times New Roman" w:hAnsi="Times New Roman" w:cs="Times New Roman"/>
          <w:sz w:val="24"/>
          <w:szCs w:val="24"/>
          <w:lang w:val="en-US"/>
        </w:rPr>
        <w:t xml:space="preserve">would be </w:t>
      </w:r>
      <w:r w:rsidR="00277905">
        <w:rPr>
          <w:rFonts w:ascii="Times New Roman" w:hAnsi="Times New Roman" w:cs="Times New Roman"/>
          <w:sz w:val="24"/>
          <w:szCs w:val="24"/>
          <w:lang w:val="en-US"/>
        </w:rPr>
        <w:t xml:space="preserve">210,000 and therefore the </w:t>
      </w:r>
      <w:r w:rsidR="00624A03">
        <w:rPr>
          <w:rFonts w:ascii="Times New Roman" w:hAnsi="Times New Roman" w:cs="Times New Roman"/>
          <w:sz w:val="24"/>
          <w:szCs w:val="24"/>
          <w:lang w:val="en-US"/>
        </w:rPr>
        <w:t xml:space="preserve">deaths attributed to Covid-19 </w:t>
      </w:r>
      <w:r w:rsidR="00947E14">
        <w:rPr>
          <w:rFonts w:ascii="Times New Roman" w:hAnsi="Times New Roman" w:cs="Times New Roman"/>
          <w:sz w:val="24"/>
          <w:szCs w:val="24"/>
          <w:lang w:val="en-US"/>
        </w:rPr>
        <w:t xml:space="preserve">of 169,000 would be </w:t>
      </w:r>
      <w:r w:rsidR="00277905">
        <w:rPr>
          <w:rFonts w:ascii="Times New Roman" w:hAnsi="Times New Roman" w:cs="Times New Roman"/>
          <w:sz w:val="24"/>
          <w:szCs w:val="24"/>
          <w:lang w:val="en-US"/>
        </w:rPr>
        <w:t xml:space="preserve">too low by </w:t>
      </w:r>
      <w:r w:rsidR="00277905">
        <w:rPr>
          <w:rFonts w:ascii="Times New Roman" w:hAnsi="Times New Roman" w:cs="Times New Roman"/>
          <w:sz w:val="24"/>
          <w:szCs w:val="24"/>
          <w:lang w:val="en-US"/>
        </w:rPr>
        <w:lastRenderedPageBreak/>
        <w:t xml:space="preserve">20%.  </w:t>
      </w:r>
      <w:r w:rsidR="00947E14">
        <w:rPr>
          <w:rFonts w:ascii="Times New Roman" w:hAnsi="Times New Roman" w:cs="Times New Roman"/>
          <w:sz w:val="24"/>
          <w:szCs w:val="24"/>
          <w:lang w:val="en-US"/>
        </w:rPr>
        <w:t>However, the baseline is an imperfect prediction, as evidenced by the results for 2018 and 2019 (which would be zero if the predictions were accurate).  This is simply a consequence of the fact that deaths in a typical</w:t>
      </w:r>
      <w:r w:rsidR="00A510CE">
        <w:rPr>
          <w:rFonts w:ascii="Times New Roman" w:hAnsi="Times New Roman" w:cs="Times New Roman"/>
          <w:sz w:val="24"/>
          <w:szCs w:val="24"/>
          <w:lang w:val="en-US"/>
        </w:rPr>
        <w:t xml:space="preserve"> year are about 3m, so that the</w:t>
      </w:r>
      <w:r w:rsidR="00947E14">
        <w:rPr>
          <w:rFonts w:ascii="Times New Roman" w:hAnsi="Times New Roman" w:cs="Times New Roman"/>
          <w:sz w:val="24"/>
          <w:szCs w:val="24"/>
          <w:lang w:val="en-US"/>
        </w:rPr>
        <w:t xml:space="preserve"> prediction error of 120,000 for 2018 is a small proportion.</w:t>
      </w:r>
      <w:r w:rsidR="00947E14">
        <w:rPr>
          <w:rStyle w:val="FootnoteReference"/>
          <w:rFonts w:ascii="Times New Roman" w:hAnsi="Times New Roman" w:cs="Times New Roman"/>
          <w:sz w:val="24"/>
          <w:szCs w:val="24"/>
          <w:lang w:val="en-US"/>
        </w:rPr>
        <w:footnoteReference w:id="15"/>
      </w:r>
      <w:r w:rsidR="00947E14">
        <w:rPr>
          <w:rFonts w:ascii="Times New Roman" w:hAnsi="Times New Roman" w:cs="Times New Roman"/>
          <w:sz w:val="24"/>
          <w:szCs w:val="24"/>
          <w:lang w:val="en-US"/>
        </w:rPr>
        <w:t xml:space="preserve">  </w:t>
      </w:r>
      <w:r w:rsidR="007A7A8B">
        <w:rPr>
          <w:rFonts w:ascii="Times New Roman" w:hAnsi="Times New Roman" w:cs="Times New Roman"/>
          <w:sz w:val="24"/>
          <w:szCs w:val="24"/>
          <w:lang w:val="en-US"/>
        </w:rPr>
        <w:t>Furt</w:t>
      </w:r>
      <w:r w:rsidR="001D07F4">
        <w:rPr>
          <w:rFonts w:ascii="Times New Roman" w:hAnsi="Times New Roman" w:cs="Times New Roman"/>
          <w:sz w:val="24"/>
          <w:szCs w:val="24"/>
          <w:lang w:val="en-US"/>
        </w:rPr>
        <w:t>hermore, even if the baseline were</w:t>
      </w:r>
      <w:r w:rsidR="007A7A8B">
        <w:rPr>
          <w:rFonts w:ascii="Times New Roman" w:hAnsi="Times New Roman" w:cs="Times New Roman"/>
          <w:sz w:val="24"/>
          <w:szCs w:val="24"/>
          <w:lang w:val="en-US"/>
        </w:rPr>
        <w:t xml:space="preserve"> used, the fact that the first deaths attributed to Covid-19 in these countries did not occur until 15 February suggests that excess deaths be counted from only that point, which would yield excess deaths from 15 February to 15 September of </w:t>
      </w:r>
      <w:r w:rsidR="00B41A5B">
        <w:rPr>
          <w:rFonts w:ascii="Times New Roman" w:hAnsi="Times New Roman" w:cs="Times New Roman"/>
          <w:sz w:val="24"/>
          <w:szCs w:val="24"/>
          <w:lang w:val="en-US"/>
        </w:rPr>
        <w:t xml:space="preserve">190,000.  This is sufficiently close to the actual deaths attributed to Covid-19 to accept the latter figure.  </w:t>
      </w:r>
    </w:p>
    <w:p w:rsidR="001E4050" w:rsidRDefault="001E4050" w:rsidP="001E4050">
      <w:pPr>
        <w:spacing w:after="0" w:line="360" w:lineRule="auto"/>
        <w:jc w:val="both"/>
        <w:rPr>
          <w:rFonts w:ascii="Times New Roman" w:hAnsi="Times New Roman" w:cs="Times New Roman"/>
          <w:sz w:val="24"/>
          <w:szCs w:val="24"/>
          <w:lang w:val="en-US"/>
        </w:rPr>
      </w:pPr>
    </w:p>
    <w:p w:rsidR="00DF71D1" w:rsidRPr="00DF71D1" w:rsidRDefault="00DF71D1" w:rsidP="001E4050">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3.2 QALYs</w:t>
      </w:r>
    </w:p>
    <w:p w:rsidR="006B6626" w:rsidRDefault="00DF71D1" w:rsidP="001E4050">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estimate of avoided deaths is now converted to an estimate of expected QALYs saved.  In respect of the </w:t>
      </w:r>
      <w:r w:rsidR="001A1B0F">
        <w:rPr>
          <w:rFonts w:ascii="Times New Roman" w:hAnsi="Times New Roman" w:cs="Times New Roman"/>
          <w:sz w:val="24"/>
          <w:szCs w:val="24"/>
          <w:lang w:val="en-US"/>
        </w:rPr>
        <w:t xml:space="preserve">average </w:t>
      </w:r>
      <w:r w:rsidR="001E4050" w:rsidRPr="001E4050">
        <w:rPr>
          <w:rFonts w:ascii="Times New Roman" w:hAnsi="Times New Roman" w:cs="Times New Roman"/>
          <w:sz w:val="24"/>
          <w:szCs w:val="24"/>
          <w:lang w:val="en-US"/>
        </w:rPr>
        <w:t xml:space="preserve">residual life </w:t>
      </w:r>
      <w:r w:rsidR="00457479">
        <w:rPr>
          <w:rFonts w:ascii="Times New Roman" w:hAnsi="Times New Roman" w:cs="Times New Roman"/>
          <w:sz w:val="24"/>
          <w:szCs w:val="24"/>
          <w:lang w:val="en-US"/>
        </w:rPr>
        <w:t xml:space="preserve">expectancy </w:t>
      </w:r>
      <w:r w:rsidR="001E4050" w:rsidRPr="001E4050">
        <w:rPr>
          <w:rFonts w:ascii="Times New Roman" w:hAnsi="Times New Roman" w:cs="Times New Roman"/>
          <w:sz w:val="24"/>
          <w:szCs w:val="24"/>
          <w:lang w:val="en-US"/>
        </w:rPr>
        <w:t>of these victims</w:t>
      </w:r>
      <w:r w:rsidR="001A1B0F">
        <w:rPr>
          <w:rFonts w:ascii="Times New Roman" w:hAnsi="Times New Roman" w:cs="Times New Roman"/>
          <w:sz w:val="24"/>
          <w:szCs w:val="24"/>
          <w:lang w:val="en-US"/>
        </w:rPr>
        <w:t xml:space="preserve"> sans </w:t>
      </w:r>
      <w:proofErr w:type="spellStart"/>
      <w:r w:rsidR="001A1B0F">
        <w:rPr>
          <w:rFonts w:ascii="Times New Roman" w:hAnsi="Times New Roman" w:cs="Times New Roman"/>
          <w:sz w:val="24"/>
          <w:szCs w:val="24"/>
          <w:lang w:val="en-US"/>
        </w:rPr>
        <w:t>covid</w:t>
      </w:r>
      <w:proofErr w:type="spellEnd"/>
      <w:r w:rsidR="001E4050" w:rsidRPr="001E4050">
        <w:rPr>
          <w:rFonts w:ascii="Times New Roman" w:hAnsi="Times New Roman" w:cs="Times New Roman"/>
          <w:sz w:val="24"/>
          <w:szCs w:val="24"/>
          <w:lang w:val="en-US"/>
        </w:rPr>
        <w:t xml:space="preserve">, </w:t>
      </w:r>
      <w:r w:rsidR="009E4A6D">
        <w:rPr>
          <w:rFonts w:ascii="Times New Roman" w:hAnsi="Times New Roman" w:cs="Times New Roman"/>
          <w:sz w:val="24"/>
          <w:szCs w:val="24"/>
          <w:lang w:val="en-US"/>
        </w:rPr>
        <w:t xml:space="preserve">I focus upon the European countries used to estimate the additional death toll under mitigation rather than lockdown.  </w:t>
      </w:r>
      <w:r w:rsidR="0089256D">
        <w:rPr>
          <w:rFonts w:ascii="Times New Roman" w:hAnsi="Times New Roman" w:cs="Times New Roman"/>
          <w:sz w:val="24"/>
          <w:szCs w:val="24"/>
          <w:lang w:val="en-US"/>
        </w:rPr>
        <w:t xml:space="preserve">I start with Sweden.  </w:t>
      </w:r>
      <w:r w:rsidR="00D046A6">
        <w:rPr>
          <w:rFonts w:ascii="Times New Roman" w:hAnsi="Times New Roman" w:cs="Times New Roman"/>
          <w:sz w:val="24"/>
          <w:szCs w:val="24"/>
          <w:lang w:val="en-US"/>
        </w:rPr>
        <w:t xml:space="preserve">The </w:t>
      </w:r>
      <w:r w:rsidR="00801C2B">
        <w:rPr>
          <w:rFonts w:ascii="Times New Roman" w:hAnsi="Times New Roman" w:cs="Times New Roman"/>
          <w:sz w:val="24"/>
          <w:szCs w:val="24"/>
          <w:lang w:val="en-US"/>
        </w:rPr>
        <w:t xml:space="preserve">age distribution of the </w:t>
      </w:r>
      <w:r w:rsidR="00D046A6">
        <w:rPr>
          <w:rFonts w:ascii="Times New Roman" w:hAnsi="Times New Roman" w:cs="Times New Roman"/>
          <w:sz w:val="24"/>
          <w:szCs w:val="24"/>
          <w:lang w:val="en-US"/>
        </w:rPr>
        <w:t xml:space="preserve">covid-19 </w:t>
      </w:r>
      <w:r w:rsidR="00801C2B">
        <w:rPr>
          <w:rFonts w:ascii="Times New Roman" w:hAnsi="Times New Roman" w:cs="Times New Roman"/>
          <w:sz w:val="24"/>
          <w:szCs w:val="24"/>
          <w:lang w:val="en-US"/>
        </w:rPr>
        <w:t xml:space="preserve">victims </w:t>
      </w:r>
      <w:r w:rsidR="00D046A6">
        <w:rPr>
          <w:rFonts w:ascii="Times New Roman" w:hAnsi="Times New Roman" w:cs="Times New Roman"/>
          <w:sz w:val="24"/>
          <w:szCs w:val="24"/>
          <w:lang w:val="en-US"/>
        </w:rPr>
        <w:t xml:space="preserve">is </w:t>
      </w:r>
      <w:r w:rsidR="00801C2B">
        <w:rPr>
          <w:rFonts w:ascii="Times New Roman" w:hAnsi="Times New Roman" w:cs="Times New Roman"/>
          <w:sz w:val="24"/>
          <w:szCs w:val="24"/>
          <w:lang w:val="en-US"/>
        </w:rPr>
        <w:t xml:space="preserve">shown in </w:t>
      </w:r>
      <w:r w:rsidR="00B022F5">
        <w:rPr>
          <w:rFonts w:ascii="Times New Roman" w:hAnsi="Times New Roman" w:cs="Times New Roman"/>
          <w:sz w:val="24"/>
          <w:szCs w:val="24"/>
          <w:lang w:val="en-US"/>
        </w:rPr>
        <w:t>the first two columns of Table 4</w:t>
      </w:r>
      <w:r w:rsidR="00801C2B">
        <w:rPr>
          <w:rFonts w:ascii="Times New Roman" w:hAnsi="Times New Roman" w:cs="Times New Roman"/>
          <w:sz w:val="24"/>
          <w:szCs w:val="24"/>
          <w:lang w:val="en-US"/>
        </w:rPr>
        <w:t xml:space="preserve">, and the </w:t>
      </w:r>
      <w:r w:rsidR="00C922B5">
        <w:rPr>
          <w:rFonts w:ascii="Times New Roman" w:hAnsi="Times New Roman" w:cs="Times New Roman"/>
          <w:sz w:val="24"/>
          <w:szCs w:val="24"/>
          <w:lang w:val="en-US"/>
        </w:rPr>
        <w:t>residual life expectancy</w:t>
      </w:r>
      <w:r w:rsidR="00801C2B">
        <w:rPr>
          <w:rFonts w:ascii="Times New Roman" w:hAnsi="Times New Roman" w:cs="Times New Roman"/>
          <w:sz w:val="24"/>
          <w:szCs w:val="24"/>
          <w:lang w:val="en-US"/>
        </w:rPr>
        <w:t xml:space="preserve"> (RLE) of Swedish people in each such age group </w:t>
      </w:r>
      <w:r w:rsidR="00D046A6">
        <w:rPr>
          <w:rFonts w:ascii="Times New Roman" w:hAnsi="Times New Roman" w:cs="Times New Roman"/>
          <w:sz w:val="24"/>
          <w:szCs w:val="24"/>
          <w:lang w:val="en-US"/>
        </w:rPr>
        <w:t xml:space="preserve">is </w:t>
      </w:r>
      <w:r w:rsidR="00801C2B">
        <w:rPr>
          <w:rFonts w:ascii="Times New Roman" w:hAnsi="Times New Roman" w:cs="Times New Roman"/>
          <w:sz w:val="24"/>
          <w:szCs w:val="24"/>
          <w:lang w:val="en-US"/>
        </w:rPr>
        <w:t>shown in the third column</w:t>
      </w:r>
      <w:r w:rsidR="00D046A6">
        <w:rPr>
          <w:rFonts w:ascii="Times New Roman" w:hAnsi="Times New Roman" w:cs="Times New Roman"/>
          <w:sz w:val="24"/>
          <w:szCs w:val="24"/>
          <w:lang w:val="en-US"/>
        </w:rPr>
        <w:t xml:space="preserve">.  Using this data, </w:t>
      </w:r>
      <w:r w:rsidR="00801C2B">
        <w:rPr>
          <w:rFonts w:ascii="Times New Roman" w:hAnsi="Times New Roman" w:cs="Times New Roman"/>
          <w:sz w:val="24"/>
          <w:szCs w:val="24"/>
          <w:lang w:val="en-US"/>
        </w:rPr>
        <w:t xml:space="preserve">the average residual life expectancy of the Swedish victims sans covid-19 </w:t>
      </w:r>
      <w:r w:rsidR="00D046A6">
        <w:rPr>
          <w:rFonts w:ascii="Times New Roman" w:hAnsi="Times New Roman" w:cs="Times New Roman"/>
          <w:sz w:val="24"/>
          <w:szCs w:val="24"/>
          <w:lang w:val="en-US"/>
        </w:rPr>
        <w:t xml:space="preserve">is </w:t>
      </w:r>
      <w:r w:rsidR="00801C2B">
        <w:rPr>
          <w:rFonts w:ascii="Times New Roman" w:hAnsi="Times New Roman" w:cs="Times New Roman"/>
          <w:sz w:val="24"/>
          <w:szCs w:val="24"/>
          <w:lang w:val="en-US"/>
        </w:rPr>
        <w:t>10.9 years</w:t>
      </w:r>
      <w:r w:rsidR="00CD63C5">
        <w:rPr>
          <w:rFonts w:ascii="Times New Roman" w:hAnsi="Times New Roman" w:cs="Times New Roman"/>
          <w:sz w:val="24"/>
          <w:szCs w:val="24"/>
          <w:lang w:val="en-US"/>
        </w:rPr>
        <w:t>.</w:t>
      </w:r>
      <w:r w:rsidR="00CD63C5">
        <w:rPr>
          <w:rStyle w:val="FootnoteReference"/>
          <w:rFonts w:ascii="Times New Roman" w:hAnsi="Times New Roman" w:cs="Times New Roman"/>
          <w:sz w:val="24"/>
          <w:szCs w:val="24"/>
          <w:lang w:val="en-US"/>
        </w:rPr>
        <w:footnoteReference w:id="16"/>
      </w:r>
      <w:r w:rsidR="00CD63C5">
        <w:rPr>
          <w:rFonts w:ascii="Times New Roman" w:hAnsi="Times New Roman" w:cs="Times New Roman"/>
          <w:sz w:val="24"/>
          <w:szCs w:val="24"/>
          <w:lang w:val="en-US"/>
        </w:rPr>
        <w:t xml:space="preserve">  </w:t>
      </w:r>
      <w:r w:rsidR="00136F01">
        <w:rPr>
          <w:rFonts w:ascii="Times New Roman" w:hAnsi="Times New Roman" w:cs="Times New Roman"/>
          <w:sz w:val="24"/>
          <w:szCs w:val="24"/>
          <w:lang w:val="en-US"/>
        </w:rPr>
        <w:t xml:space="preserve">This calculation assumes that the victims are typical of Swedish people of the same ages.  However, they </w:t>
      </w:r>
      <w:r w:rsidR="00D046A6">
        <w:rPr>
          <w:rFonts w:ascii="Times New Roman" w:hAnsi="Times New Roman" w:cs="Times New Roman"/>
          <w:sz w:val="24"/>
          <w:szCs w:val="24"/>
          <w:lang w:val="en-US"/>
        </w:rPr>
        <w:t xml:space="preserve">differ in two </w:t>
      </w:r>
      <w:r w:rsidR="00E42DA8">
        <w:rPr>
          <w:rFonts w:ascii="Times New Roman" w:hAnsi="Times New Roman" w:cs="Times New Roman"/>
          <w:sz w:val="24"/>
          <w:szCs w:val="24"/>
          <w:lang w:val="en-US"/>
        </w:rPr>
        <w:t xml:space="preserve">very </w:t>
      </w:r>
      <w:r w:rsidR="00D046A6">
        <w:rPr>
          <w:rFonts w:ascii="Times New Roman" w:hAnsi="Times New Roman" w:cs="Times New Roman"/>
          <w:sz w:val="24"/>
          <w:szCs w:val="24"/>
          <w:lang w:val="en-US"/>
        </w:rPr>
        <w:t xml:space="preserve">significant </w:t>
      </w:r>
      <w:r w:rsidR="00136F01">
        <w:rPr>
          <w:rFonts w:ascii="Times New Roman" w:hAnsi="Times New Roman" w:cs="Times New Roman"/>
          <w:sz w:val="24"/>
          <w:szCs w:val="24"/>
          <w:lang w:val="en-US"/>
        </w:rPr>
        <w:t>features.</w:t>
      </w:r>
    </w:p>
    <w:p w:rsidR="006B6626" w:rsidRDefault="006B6626" w:rsidP="001E4050">
      <w:pPr>
        <w:pStyle w:val="FootnoteText"/>
        <w:spacing w:line="360" w:lineRule="auto"/>
        <w:jc w:val="both"/>
        <w:rPr>
          <w:rFonts w:ascii="Times New Roman" w:hAnsi="Times New Roman" w:cs="Times New Roman"/>
          <w:sz w:val="24"/>
          <w:szCs w:val="24"/>
          <w:lang w:val="en-US"/>
        </w:rPr>
      </w:pPr>
    </w:p>
    <w:p w:rsidR="00E903A4" w:rsidRDefault="00E903A4" w:rsidP="00E903A4">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first of these features is that a large proportion of the victims were residents of nursing homes, whose average residual life expectancy sans covid-19 was very low and might be even lower than suggested by their ages.  If so, conditioning on residency of a nursing home as well as age would reduce the average residual life expectancy of the victims.  In respect of Sweden, Stern and Klein</w:t>
      </w:r>
      <w:r w:rsidR="003C7F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2020, page 5) estimate that 53% of the covid-19 victims aged at </w:t>
      </w:r>
      <w:r>
        <w:rPr>
          <w:rFonts w:ascii="Times New Roman" w:hAnsi="Times New Roman" w:cs="Times New Roman"/>
          <w:sz w:val="24"/>
          <w:szCs w:val="24"/>
          <w:lang w:val="en-US"/>
        </w:rPr>
        <w:lastRenderedPageBreak/>
        <w:t xml:space="preserve">least 70 were residents of nursing homes, and that their average residual life span sans covid-19 was only seven months (ibid, pp. 16-17).  Conservatively treating this subset of </w:t>
      </w:r>
      <w:r w:rsidR="00B022F5">
        <w:rPr>
          <w:rFonts w:ascii="Times New Roman" w:hAnsi="Times New Roman" w:cs="Times New Roman"/>
          <w:sz w:val="24"/>
          <w:szCs w:val="24"/>
          <w:lang w:val="en-US"/>
        </w:rPr>
        <w:t>victims as the oldest in Table 4</w:t>
      </w:r>
      <w:r>
        <w:rPr>
          <w:rFonts w:ascii="Times New Roman" w:hAnsi="Times New Roman" w:cs="Times New Roman"/>
          <w:sz w:val="24"/>
          <w:szCs w:val="24"/>
          <w:lang w:val="en-US"/>
        </w:rPr>
        <w:t>, they represent the entire 85+ group (47%) plus additional victims in the 80-84 group constituting 6% of the entire set of victims (6/21 of that group).  Replacing the residual life expectancy of these people by seven months (0.6 years), the average residual life expectancy cal</w:t>
      </w:r>
      <w:r w:rsidR="00037A0C">
        <w:rPr>
          <w:rFonts w:ascii="Times New Roman" w:hAnsi="Times New Roman" w:cs="Times New Roman"/>
          <w:sz w:val="24"/>
          <w:szCs w:val="24"/>
          <w:lang w:val="en-US"/>
        </w:rPr>
        <w:t>culated from the data in Table 4</w:t>
      </w:r>
      <w:r>
        <w:rPr>
          <w:rFonts w:ascii="Times New Roman" w:hAnsi="Times New Roman" w:cs="Times New Roman"/>
          <w:sz w:val="24"/>
          <w:szCs w:val="24"/>
          <w:lang w:val="en-US"/>
        </w:rPr>
        <w:t xml:space="preserve"> would fall to 7.7 years</w:t>
      </w:r>
      <w:r w:rsidR="006E5DCA">
        <w:rPr>
          <w:rFonts w:ascii="Times New Roman" w:hAnsi="Times New Roman" w:cs="Times New Roman"/>
          <w:sz w:val="24"/>
          <w:szCs w:val="24"/>
          <w:lang w:val="en-US"/>
        </w:rPr>
        <w:t xml:space="preserve"> as shown in the </w:t>
      </w:r>
      <w:r w:rsidR="0094250F">
        <w:rPr>
          <w:rFonts w:ascii="Times New Roman" w:hAnsi="Times New Roman" w:cs="Times New Roman"/>
          <w:sz w:val="24"/>
          <w:szCs w:val="24"/>
          <w:lang w:val="en-US"/>
        </w:rPr>
        <w:t xml:space="preserve">fourth </w:t>
      </w:r>
      <w:r w:rsidR="00B022F5">
        <w:rPr>
          <w:rFonts w:ascii="Times New Roman" w:hAnsi="Times New Roman" w:cs="Times New Roman"/>
          <w:sz w:val="24"/>
          <w:szCs w:val="24"/>
          <w:lang w:val="en-US"/>
        </w:rPr>
        <w:t>column of Table 4</w:t>
      </w:r>
      <w:r>
        <w:rPr>
          <w:rFonts w:ascii="Times New Roman" w:hAnsi="Times New Roman" w:cs="Times New Roman"/>
          <w:sz w:val="24"/>
          <w:szCs w:val="24"/>
          <w:lang w:val="en-US"/>
        </w:rPr>
        <w:t>.</w:t>
      </w:r>
      <w:r w:rsidR="006E5DCA">
        <w:rPr>
          <w:rStyle w:val="FootnoteReference"/>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By contrast, if this nursing home group were spread through the 70+ groups in proportion to the size of these groups, 28% would be in the 85+ group, 13% in the 80-84 group, and 13% in the 70-79 group.  Replacing the residual life expectancy of these people by </w:t>
      </w:r>
      <w:r w:rsidR="006E5DCA">
        <w:rPr>
          <w:rFonts w:ascii="Times New Roman" w:hAnsi="Times New Roman" w:cs="Times New Roman"/>
          <w:sz w:val="24"/>
          <w:szCs w:val="24"/>
          <w:lang w:val="en-US"/>
        </w:rPr>
        <w:t>0.6 years</w:t>
      </w:r>
      <w:r>
        <w:rPr>
          <w:rFonts w:ascii="Times New Roman" w:hAnsi="Times New Roman" w:cs="Times New Roman"/>
          <w:sz w:val="24"/>
          <w:szCs w:val="24"/>
          <w:lang w:val="en-US"/>
        </w:rPr>
        <w:t>, the average residual life expectancy cal</w:t>
      </w:r>
      <w:r w:rsidR="00037A0C">
        <w:rPr>
          <w:rFonts w:ascii="Times New Roman" w:hAnsi="Times New Roman" w:cs="Times New Roman"/>
          <w:sz w:val="24"/>
          <w:szCs w:val="24"/>
          <w:lang w:val="en-US"/>
        </w:rPr>
        <w:t>culated from the data in Table 4</w:t>
      </w:r>
      <w:r>
        <w:rPr>
          <w:rFonts w:ascii="Times New Roman" w:hAnsi="Times New Roman" w:cs="Times New Roman"/>
          <w:sz w:val="24"/>
          <w:szCs w:val="24"/>
          <w:lang w:val="en-US"/>
        </w:rPr>
        <w:t xml:space="preserve"> would fall to 6.4 years</w:t>
      </w:r>
      <w:r w:rsidR="00EF1F6D">
        <w:rPr>
          <w:rFonts w:ascii="Times New Roman" w:hAnsi="Times New Roman" w:cs="Times New Roman"/>
          <w:sz w:val="24"/>
          <w:szCs w:val="24"/>
          <w:lang w:val="en-US"/>
        </w:rPr>
        <w:t xml:space="preserve">.  </w:t>
      </w:r>
    </w:p>
    <w:p w:rsidR="00E903A4" w:rsidRDefault="00E903A4" w:rsidP="001E4050">
      <w:pPr>
        <w:pStyle w:val="FootnoteText"/>
        <w:spacing w:line="360" w:lineRule="auto"/>
        <w:jc w:val="both"/>
        <w:rPr>
          <w:rFonts w:ascii="Times New Roman" w:hAnsi="Times New Roman" w:cs="Times New Roman"/>
          <w:sz w:val="24"/>
          <w:szCs w:val="24"/>
          <w:lang w:val="en-US"/>
        </w:rPr>
      </w:pPr>
    </w:p>
    <w:p w:rsidR="00AF185D" w:rsidRDefault="002969C5" w:rsidP="001E4050">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w:t>
      </w:r>
      <w:r w:rsidR="00AF185D">
        <w:rPr>
          <w:rFonts w:ascii="Times New Roman" w:hAnsi="Times New Roman" w:cs="Times New Roman"/>
          <w:sz w:val="24"/>
          <w:szCs w:val="24"/>
          <w:lang w:val="en-US"/>
        </w:rPr>
        <w:t xml:space="preserve">unusual </w:t>
      </w:r>
      <w:r>
        <w:rPr>
          <w:rFonts w:ascii="Times New Roman" w:hAnsi="Times New Roman" w:cs="Times New Roman"/>
          <w:sz w:val="24"/>
          <w:szCs w:val="24"/>
          <w:lang w:val="en-US"/>
        </w:rPr>
        <w:t>feature of these</w:t>
      </w:r>
      <w:r w:rsidR="00AF185D">
        <w:rPr>
          <w:rFonts w:ascii="Times New Roman" w:hAnsi="Times New Roman" w:cs="Times New Roman"/>
          <w:sz w:val="24"/>
          <w:szCs w:val="24"/>
          <w:lang w:val="en-US"/>
        </w:rPr>
        <w:t xml:space="preserve"> </w:t>
      </w:r>
      <w:proofErr w:type="spellStart"/>
      <w:r w:rsidR="00AF185D">
        <w:rPr>
          <w:rFonts w:ascii="Times New Roman" w:hAnsi="Times New Roman" w:cs="Times New Roman"/>
          <w:sz w:val="24"/>
          <w:szCs w:val="24"/>
          <w:lang w:val="en-US"/>
        </w:rPr>
        <w:t>covid</w:t>
      </w:r>
      <w:proofErr w:type="spellEnd"/>
      <w:r w:rsidR="00AF185D">
        <w:rPr>
          <w:rFonts w:ascii="Times New Roman" w:hAnsi="Times New Roman" w:cs="Times New Roman"/>
          <w:sz w:val="24"/>
          <w:szCs w:val="24"/>
          <w:lang w:val="en-US"/>
        </w:rPr>
        <w:t xml:space="preserve"> victims is that they were unusually unwell, even for their age; as noted </w:t>
      </w:r>
      <w:r w:rsidR="00FD500D">
        <w:rPr>
          <w:rFonts w:ascii="Times New Roman" w:hAnsi="Times New Roman" w:cs="Times New Roman"/>
          <w:sz w:val="24"/>
          <w:szCs w:val="24"/>
          <w:lang w:val="en-US"/>
        </w:rPr>
        <w:t xml:space="preserve">in footnote 1, </w:t>
      </w:r>
      <w:r w:rsidR="00DC360E">
        <w:rPr>
          <w:rFonts w:ascii="Times New Roman" w:hAnsi="Times New Roman" w:cs="Times New Roman"/>
          <w:sz w:val="24"/>
          <w:szCs w:val="24"/>
          <w:lang w:val="en-US"/>
        </w:rPr>
        <w:t xml:space="preserve">98% </w:t>
      </w:r>
      <w:r w:rsidR="00FD500D">
        <w:rPr>
          <w:rFonts w:ascii="Times New Roman" w:hAnsi="Times New Roman" w:cs="Times New Roman"/>
          <w:sz w:val="24"/>
          <w:szCs w:val="24"/>
          <w:lang w:val="en-US"/>
        </w:rPr>
        <w:t xml:space="preserve">of </w:t>
      </w:r>
      <w:r w:rsidR="007A4412">
        <w:rPr>
          <w:rFonts w:ascii="Times New Roman" w:hAnsi="Times New Roman" w:cs="Times New Roman"/>
          <w:sz w:val="24"/>
          <w:szCs w:val="24"/>
          <w:lang w:val="en-US"/>
        </w:rPr>
        <w:t xml:space="preserve">the </w:t>
      </w:r>
      <w:r w:rsidR="00FD500D">
        <w:rPr>
          <w:rFonts w:ascii="Times New Roman" w:hAnsi="Times New Roman" w:cs="Times New Roman"/>
          <w:sz w:val="24"/>
          <w:szCs w:val="24"/>
          <w:lang w:val="en-US"/>
        </w:rPr>
        <w:t xml:space="preserve">victims had at least one co-morbidity, which is presumably well in excess of the rate for the general population of the same age distribution.  </w:t>
      </w:r>
      <w:r w:rsidR="00283F0A">
        <w:rPr>
          <w:rFonts w:ascii="Times New Roman" w:hAnsi="Times New Roman" w:cs="Times New Roman"/>
          <w:sz w:val="24"/>
          <w:szCs w:val="24"/>
          <w:lang w:val="en-US"/>
        </w:rPr>
        <w:t xml:space="preserve">A common such ailment was type 2 diabetes.  The </w:t>
      </w:r>
      <w:r w:rsidR="00A83A10">
        <w:rPr>
          <w:rFonts w:ascii="Times New Roman" w:hAnsi="Times New Roman" w:cs="Times New Roman"/>
          <w:sz w:val="24"/>
          <w:szCs w:val="24"/>
          <w:lang w:val="en-US"/>
        </w:rPr>
        <w:t xml:space="preserve">NHS </w:t>
      </w:r>
      <w:r w:rsidR="00283F0A">
        <w:rPr>
          <w:rFonts w:ascii="Times New Roman" w:hAnsi="Times New Roman" w:cs="Times New Roman"/>
          <w:sz w:val="24"/>
          <w:szCs w:val="24"/>
          <w:lang w:val="en-US"/>
        </w:rPr>
        <w:t xml:space="preserve">(2018, Figure 8) provides estimates for the increase in mortality risk from this disease </w:t>
      </w:r>
      <w:r w:rsidR="00F34B20">
        <w:rPr>
          <w:rFonts w:ascii="Times New Roman" w:hAnsi="Times New Roman" w:cs="Times New Roman"/>
          <w:sz w:val="24"/>
          <w:szCs w:val="24"/>
          <w:lang w:val="en-US"/>
        </w:rPr>
        <w:t xml:space="preserve">(relative to the general population) </w:t>
      </w:r>
      <w:r w:rsidR="00283F0A">
        <w:rPr>
          <w:rFonts w:ascii="Times New Roman" w:hAnsi="Times New Roman" w:cs="Times New Roman"/>
          <w:sz w:val="24"/>
          <w:szCs w:val="24"/>
          <w:lang w:val="en-US"/>
        </w:rPr>
        <w:t xml:space="preserve">by age and sex.  Averaging over these categories, the increase </w:t>
      </w:r>
      <w:r w:rsidR="00EF1F6D">
        <w:rPr>
          <w:rFonts w:ascii="Times New Roman" w:hAnsi="Times New Roman" w:cs="Times New Roman"/>
          <w:sz w:val="24"/>
          <w:szCs w:val="24"/>
          <w:lang w:val="en-US"/>
        </w:rPr>
        <w:t>is about 5</w:t>
      </w:r>
      <w:r w:rsidR="00283F0A">
        <w:rPr>
          <w:rFonts w:ascii="Times New Roman" w:hAnsi="Times New Roman" w:cs="Times New Roman"/>
          <w:sz w:val="24"/>
          <w:szCs w:val="24"/>
          <w:lang w:val="en-US"/>
        </w:rPr>
        <w:t xml:space="preserve">0%.  </w:t>
      </w:r>
      <w:r w:rsidR="00EF1F6D">
        <w:rPr>
          <w:rFonts w:ascii="Times New Roman" w:hAnsi="Times New Roman" w:cs="Times New Roman"/>
          <w:sz w:val="24"/>
          <w:szCs w:val="24"/>
          <w:lang w:val="en-US"/>
        </w:rPr>
        <w:t>Ho</w:t>
      </w:r>
      <w:r w:rsidR="00520170">
        <w:rPr>
          <w:rFonts w:ascii="Times New Roman" w:hAnsi="Times New Roman" w:cs="Times New Roman"/>
          <w:sz w:val="24"/>
          <w:szCs w:val="24"/>
          <w:lang w:val="en-US"/>
        </w:rPr>
        <w:t xml:space="preserve">wever the group of interest here excludes those in nursing homes, </w:t>
      </w:r>
      <w:r w:rsidR="00782347">
        <w:rPr>
          <w:rFonts w:ascii="Times New Roman" w:hAnsi="Times New Roman" w:cs="Times New Roman"/>
          <w:sz w:val="24"/>
          <w:szCs w:val="24"/>
          <w:lang w:val="en-US"/>
        </w:rPr>
        <w:t xml:space="preserve">because the estimate for the residual life expectancy of these victims already reflects co-morbidities.  This exclusion </w:t>
      </w:r>
      <w:r w:rsidR="00520170">
        <w:rPr>
          <w:rFonts w:ascii="Times New Roman" w:hAnsi="Times New Roman" w:cs="Times New Roman"/>
          <w:sz w:val="24"/>
          <w:szCs w:val="24"/>
          <w:lang w:val="en-US"/>
        </w:rPr>
        <w:t xml:space="preserve">lowers </w:t>
      </w:r>
      <w:r w:rsidR="00782347">
        <w:rPr>
          <w:rFonts w:ascii="Times New Roman" w:hAnsi="Times New Roman" w:cs="Times New Roman"/>
          <w:sz w:val="24"/>
          <w:szCs w:val="24"/>
          <w:lang w:val="en-US"/>
        </w:rPr>
        <w:t xml:space="preserve">the </w:t>
      </w:r>
      <w:r w:rsidR="00520170">
        <w:rPr>
          <w:rFonts w:ascii="Times New Roman" w:hAnsi="Times New Roman" w:cs="Times New Roman"/>
          <w:sz w:val="24"/>
          <w:szCs w:val="24"/>
          <w:lang w:val="en-US"/>
        </w:rPr>
        <w:t>average age</w:t>
      </w:r>
      <w:r w:rsidR="00782347">
        <w:rPr>
          <w:rFonts w:ascii="Times New Roman" w:hAnsi="Times New Roman" w:cs="Times New Roman"/>
          <w:sz w:val="24"/>
          <w:szCs w:val="24"/>
          <w:lang w:val="en-US"/>
        </w:rPr>
        <w:t xml:space="preserve"> of the remaining victims</w:t>
      </w:r>
      <w:r w:rsidR="00520170">
        <w:rPr>
          <w:rFonts w:ascii="Times New Roman" w:hAnsi="Times New Roman" w:cs="Times New Roman"/>
          <w:sz w:val="24"/>
          <w:szCs w:val="24"/>
          <w:lang w:val="en-US"/>
        </w:rPr>
        <w:t xml:space="preserve">, and suggests an increase </w:t>
      </w:r>
      <w:r w:rsidR="00782347">
        <w:rPr>
          <w:rFonts w:ascii="Times New Roman" w:hAnsi="Times New Roman" w:cs="Times New Roman"/>
          <w:sz w:val="24"/>
          <w:szCs w:val="24"/>
          <w:lang w:val="en-US"/>
        </w:rPr>
        <w:t xml:space="preserve">in their mortality risk </w:t>
      </w:r>
      <w:r w:rsidR="00520170">
        <w:rPr>
          <w:rFonts w:ascii="Times New Roman" w:hAnsi="Times New Roman" w:cs="Times New Roman"/>
          <w:sz w:val="24"/>
          <w:szCs w:val="24"/>
          <w:lang w:val="en-US"/>
        </w:rPr>
        <w:t xml:space="preserve">of about 80%.  </w:t>
      </w:r>
      <w:r w:rsidR="00283F0A">
        <w:rPr>
          <w:rFonts w:ascii="Times New Roman" w:hAnsi="Times New Roman" w:cs="Times New Roman"/>
          <w:sz w:val="24"/>
          <w:szCs w:val="24"/>
          <w:lang w:val="en-US"/>
        </w:rPr>
        <w:t xml:space="preserve">In addition, a </w:t>
      </w:r>
      <w:r w:rsidR="00AF4A5A">
        <w:rPr>
          <w:rFonts w:ascii="Times New Roman" w:hAnsi="Times New Roman" w:cs="Times New Roman"/>
          <w:sz w:val="24"/>
          <w:szCs w:val="24"/>
          <w:lang w:val="en-US"/>
        </w:rPr>
        <w:t xml:space="preserve">person with </w:t>
      </w:r>
      <w:r w:rsidR="007B243A">
        <w:rPr>
          <w:rFonts w:ascii="Times New Roman" w:hAnsi="Times New Roman" w:cs="Times New Roman"/>
          <w:sz w:val="24"/>
          <w:szCs w:val="24"/>
          <w:lang w:val="en-US"/>
        </w:rPr>
        <w:t xml:space="preserve">a residual life expectancy of </w:t>
      </w:r>
      <w:r w:rsidR="00AF4A5A">
        <w:rPr>
          <w:rFonts w:ascii="Times New Roman" w:hAnsi="Times New Roman" w:cs="Times New Roman"/>
          <w:sz w:val="24"/>
          <w:szCs w:val="24"/>
          <w:lang w:val="en-US"/>
        </w:rPr>
        <w:t xml:space="preserve">10 years </w:t>
      </w:r>
      <w:r w:rsidR="00283F0A">
        <w:rPr>
          <w:rFonts w:ascii="Times New Roman" w:hAnsi="Times New Roman" w:cs="Times New Roman"/>
          <w:sz w:val="24"/>
          <w:szCs w:val="24"/>
          <w:lang w:val="en-US"/>
        </w:rPr>
        <w:t>(the aver</w:t>
      </w:r>
      <w:r w:rsidR="008665FA">
        <w:rPr>
          <w:rFonts w:ascii="Times New Roman" w:hAnsi="Times New Roman" w:cs="Times New Roman"/>
          <w:sz w:val="24"/>
          <w:szCs w:val="24"/>
          <w:lang w:val="en-US"/>
        </w:rPr>
        <w:t>age for the covid-19 victims</w:t>
      </w:r>
      <w:r w:rsidR="00283F0A">
        <w:rPr>
          <w:rFonts w:ascii="Times New Roman" w:hAnsi="Times New Roman" w:cs="Times New Roman"/>
          <w:sz w:val="24"/>
          <w:szCs w:val="24"/>
          <w:lang w:val="en-US"/>
        </w:rPr>
        <w:t xml:space="preserve">) </w:t>
      </w:r>
      <w:r w:rsidR="00AF4A5A">
        <w:rPr>
          <w:rFonts w:ascii="Times New Roman" w:hAnsi="Times New Roman" w:cs="Times New Roman"/>
          <w:sz w:val="24"/>
          <w:szCs w:val="24"/>
          <w:lang w:val="en-US"/>
        </w:rPr>
        <w:t>would have a current mortality risk of about 5%</w:t>
      </w:r>
      <w:r w:rsidR="00C922B5">
        <w:rPr>
          <w:rFonts w:ascii="Times New Roman" w:hAnsi="Times New Roman" w:cs="Times New Roman"/>
          <w:sz w:val="24"/>
          <w:szCs w:val="24"/>
          <w:lang w:val="en-US"/>
        </w:rPr>
        <w:t xml:space="preserve"> over the next year</w:t>
      </w:r>
      <w:r w:rsidR="00AF4A5A">
        <w:rPr>
          <w:rFonts w:ascii="Times New Roman" w:hAnsi="Times New Roman" w:cs="Times New Roman"/>
          <w:sz w:val="24"/>
          <w:szCs w:val="24"/>
          <w:lang w:val="en-US"/>
        </w:rPr>
        <w:t>, growing a</w:t>
      </w:r>
      <w:r w:rsidR="00782347">
        <w:rPr>
          <w:rFonts w:ascii="Times New Roman" w:hAnsi="Times New Roman" w:cs="Times New Roman"/>
          <w:sz w:val="24"/>
          <w:szCs w:val="24"/>
          <w:lang w:val="en-US"/>
        </w:rPr>
        <w:t>t about 11% per year compounded:</w:t>
      </w:r>
      <w:r w:rsidR="00AF4A5A">
        <w:rPr>
          <w:rStyle w:val="FootnoteReference"/>
          <w:rFonts w:ascii="Times New Roman" w:hAnsi="Times New Roman" w:cs="Times New Roman"/>
          <w:sz w:val="24"/>
          <w:szCs w:val="24"/>
          <w:lang w:val="en-US"/>
        </w:rPr>
        <w:footnoteReference w:id="18"/>
      </w:r>
      <w:r w:rsidR="00AF4A5A">
        <w:rPr>
          <w:rFonts w:ascii="Times New Roman" w:hAnsi="Times New Roman" w:cs="Times New Roman"/>
          <w:sz w:val="24"/>
          <w:szCs w:val="24"/>
          <w:lang w:val="en-US"/>
        </w:rPr>
        <w:t xml:space="preserve">  </w:t>
      </w:r>
    </w:p>
    <w:p w:rsidR="00AF185D" w:rsidRDefault="00AF185D" w:rsidP="001E4050">
      <w:pPr>
        <w:pStyle w:val="FootnoteText"/>
        <w:spacing w:line="360" w:lineRule="auto"/>
        <w:jc w:val="both"/>
        <w:rPr>
          <w:rFonts w:ascii="Times New Roman" w:hAnsi="Times New Roman" w:cs="Times New Roman"/>
          <w:sz w:val="24"/>
          <w:szCs w:val="24"/>
          <w:lang w:val="en-US"/>
        </w:rPr>
      </w:pPr>
    </w:p>
    <w:p w:rsidR="00AF185D" w:rsidRDefault="00AF185D" w:rsidP="001E4050">
      <w:pPr>
        <w:pStyle w:val="FootnoteText"/>
        <w:spacing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RLE=.05</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1-0.05</m:t>
              </m:r>
            </m:e>
          </m:d>
          <m:r>
            <w:rPr>
              <w:rFonts w:ascii="Cambria Math" w:hAnsi="Cambria Math" w:cs="Times New Roman"/>
              <w:sz w:val="24"/>
              <w:szCs w:val="24"/>
              <w:lang w:val="en-US"/>
            </w:rPr>
            <m:t>[.05</m:t>
          </m:r>
          <m:d>
            <m:dPr>
              <m:ctrlPr>
                <w:rPr>
                  <w:rFonts w:ascii="Cambria Math" w:hAnsi="Cambria Math" w:cs="Times New Roman"/>
                  <w:i/>
                  <w:sz w:val="24"/>
                  <w:szCs w:val="24"/>
                  <w:lang w:val="en-US"/>
                </w:rPr>
              </m:ctrlPr>
            </m:dPr>
            <m:e>
              <m:r>
                <w:rPr>
                  <w:rFonts w:ascii="Cambria Math" w:hAnsi="Cambria Math" w:cs="Times New Roman"/>
                  <w:sz w:val="24"/>
                  <w:szCs w:val="24"/>
                  <w:lang w:val="en-US"/>
                </w:rPr>
                <m:t>1.1</m:t>
              </m:r>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2</m:t>
              </m:r>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1-.05</m:t>
              </m:r>
            </m:e>
          </m:d>
          <m:r>
            <w:rPr>
              <w:rFonts w:ascii="Cambria Math" w:hAnsi="Cambria Math" w:cs="Times New Roman"/>
              <w:sz w:val="24"/>
              <w:szCs w:val="24"/>
              <w:lang w:val="en-US"/>
            </w:rPr>
            <m:t>[.05</m:t>
          </m:r>
          <m:d>
            <m:dPr>
              <m:ctrlPr>
                <w:rPr>
                  <w:rFonts w:ascii="Cambria Math" w:hAnsi="Cambria Math" w:cs="Times New Roman"/>
                  <w:i/>
                  <w:sz w:val="24"/>
                  <w:szCs w:val="24"/>
                  <w:lang w:val="en-US"/>
                </w:rPr>
              </m:ctrlPr>
            </m:dPr>
            <m:e>
              <m:r>
                <w:rPr>
                  <w:rFonts w:ascii="Cambria Math" w:hAnsi="Cambria Math" w:cs="Times New Roman"/>
                  <w:sz w:val="24"/>
                  <w:szCs w:val="24"/>
                  <w:lang w:val="en-US"/>
                </w:rPr>
                <m:t>1.1</m:t>
              </m:r>
            </m:e>
          </m:d>
          <m:d>
            <m:dPr>
              <m:ctrlPr>
                <w:rPr>
                  <w:rFonts w:ascii="Cambria Math" w:hAnsi="Cambria Math" w:cs="Times New Roman"/>
                  <w:i/>
                  <w:sz w:val="24"/>
                  <w:szCs w:val="24"/>
                  <w:lang w:val="en-US"/>
                </w:rPr>
              </m:ctrlPr>
            </m:dPr>
            <m:e>
              <m:r>
                <w:rPr>
                  <w:rFonts w:ascii="Cambria Math" w:hAnsi="Cambria Math" w:cs="Times New Roman"/>
                  <w:sz w:val="24"/>
                  <w:szCs w:val="24"/>
                  <w:lang w:val="en-US"/>
                </w:rPr>
                <m:t>1.1</m:t>
              </m:r>
            </m:e>
          </m:d>
          <m:r>
            <w:rPr>
              <w:rFonts w:ascii="Cambria Math" w:hAnsi="Cambria Math" w:cs="Times New Roman"/>
              <w:sz w:val="24"/>
              <w:szCs w:val="24"/>
              <w:lang w:val="en-US"/>
            </w:rPr>
            <m:t>](3)+…=9.52 yrs</m:t>
          </m:r>
        </m:oMath>
      </m:oMathPara>
    </w:p>
    <w:p w:rsidR="00AF185D" w:rsidRDefault="00AF185D" w:rsidP="001E4050">
      <w:pPr>
        <w:pStyle w:val="FootnoteText"/>
        <w:spacing w:line="360" w:lineRule="auto"/>
        <w:jc w:val="both"/>
        <w:rPr>
          <w:rFonts w:ascii="Times New Roman" w:hAnsi="Times New Roman" w:cs="Times New Roman"/>
          <w:sz w:val="24"/>
          <w:szCs w:val="24"/>
          <w:lang w:val="en-US"/>
        </w:rPr>
      </w:pPr>
    </w:p>
    <w:p w:rsidR="00560015" w:rsidRDefault="007C3127" w:rsidP="001E4050">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Raising </w:t>
      </w:r>
      <w:r w:rsidR="002221C0">
        <w:rPr>
          <w:rFonts w:ascii="Times New Roman" w:hAnsi="Times New Roman" w:cs="Times New Roman"/>
          <w:sz w:val="24"/>
          <w:szCs w:val="24"/>
          <w:lang w:val="en-US"/>
        </w:rPr>
        <w:t xml:space="preserve">this initial </w:t>
      </w:r>
      <w:r w:rsidR="00520170">
        <w:rPr>
          <w:rFonts w:ascii="Times New Roman" w:hAnsi="Times New Roman" w:cs="Times New Roman"/>
          <w:sz w:val="24"/>
          <w:szCs w:val="24"/>
          <w:lang w:val="en-US"/>
        </w:rPr>
        <w:t>mortality risk by 8</w:t>
      </w:r>
      <w:r w:rsidR="00FE0D73">
        <w:rPr>
          <w:rFonts w:ascii="Times New Roman" w:hAnsi="Times New Roman" w:cs="Times New Roman"/>
          <w:sz w:val="24"/>
          <w:szCs w:val="24"/>
          <w:lang w:val="en-US"/>
        </w:rPr>
        <w:t>0%</w:t>
      </w:r>
      <w:r w:rsidR="00A03ABB">
        <w:rPr>
          <w:rFonts w:ascii="Times New Roman" w:hAnsi="Times New Roman" w:cs="Times New Roman"/>
          <w:sz w:val="24"/>
          <w:szCs w:val="24"/>
          <w:lang w:val="en-US"/>
        </w:rPr>
        <w:t xml:space="preserve">, from 5% </w:t>
      </w:r>
      <w:r w:rsidR="00520170">
        <w:rPr>
          <w:rFonts w:ascii="Times New Roman" w:hAnsi="Times New Roman" w:cs="Times New Roman"/>
          <w:sz w:val="24"/>
          <w:szCs w:val="24"/>
          <w:lang w:val="en-US"/>
        </w:rPr>
        <w:t>to 9</w:t>
      </w:r>
      <w:r w:rsidR="002221C0">
        <w:rPr>
          <w:rFonts w:ascii="Times New Roman" w:hAnsi="Times New Roman" w:cs="Times New Roman"/>
          <w:sz w:val="24"/>
          <w:szCs w:val="24"/>
          <w:lang w:val="en-US"/>
        </w:rPr>
        <w:t>%</w:t>
      </w:r>
      <w:r w:rsidR="00A03ABB">
        <w:rPr>
          <w:rFonts w:ascii="Times New Roman" w:hAnsi="Times New Roman" w:cs="Times New Roman"/>
          <w:sz w:val="24"/>
          <w:szCs w:val="24"/>
          <w:lang w:val="en-US"/>
        </w:rPr>
        <w:t xml:space="preserve">, along </w:t>
      </w:r>
      <w:r>
        <w:rPr>
          <w:rFonts w:ascii="Times New Roman" w:hAnsi="Times New Roman" w:cs="Times New Roman"/>
          <w:sz w:val="24"/>
          <w:szCs w:val="24"/>
          <w:lang w:val="en-US"/>
        </w:rPr>
        <w:t>w</w:t>
      </w:r>
      <w:r w:rsidR="00A03ABB">
        <w:rPr>
          <w:rFonts w:ascii="Times New Roman" w:hAnsi="Times New Roman" w:cs="Times New Roman"/>
          <w:sz w:val="24"/>
          <w:szCs w:val="24"/>
          <w:lang w:val="en-US"/>
        </w:rPr>
        <w:t>ith the same growth rate of 11%</w:t>
      </w:r>
      <w:r w:rsidR="00BC264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221C0">
        <w:rPr>
          <w:rFonts w:ascii="Times New Roman" w:hAnsi="Times New Roman" w:cs="Times New Roman"/>
          <w:sz w:val="24"/>
          <w:szCs w:val="24"/>
          <w:lang w:val="en-US"/>
        </w:rPr>
        <w:t xml:space="preserve">reduces the </w:t>
      </w:r>
      <w:r w:rsidR="00A03ABB">
        <w:rPr>
          <w:rFonts w:ascii="Times New Roman" w:hAnsi="Times New Roman" w:cs="Times New Roman"/>
          <w:sz w:val="24"/>
          <w:szCs w:val="24"/>
          <w:lang w:val="en-US"/>
        </w:rPr>
        <w:t xml:space="preserve">residual </w:t>
      </w:r>
      <w:r w:rsidR="002221C0">
        <w:rPr>
          <w:rFonts w:ascii="Times New Roman" w:hAnsi="Times New Roman" w:cs="Times New Roman"/>
          <w:sz w:val="24"/>
          <w:szCs w:val="24"/>
          <w:lang w:val="en-US"/>
        </w:rPr>
        <w:t xml:space="preserve">life </w:t>
      </w:r>
      <w:r w:rsidR="00A03ABB">
        <w:rPr>
          <w:rFonts w:ascii="Times New Roman" w:hAnsi="Times New Roman" w:cs="Times New Roman"/>
          <w:sz w:val="24"/>
          <w:szCs w:val="24"/>
          <w:lang w:val="en-US"/>
        </w:rPr>
        <w:t xml:space="preserve">expectancy </w:t>
      </w:r>
      <w:r>
        <w:rPr>
          <w:rFonts w:ascii="Times New Roman" w:hAnsi="Times New Roman" w:cs="Times New Roman"/>
          <w:sz w:val="24"/>
          <w:szCs w:val="24"/>
          <w:lang w:val="en-US"/>
        </w:rPr>
        <w:t xml:space="preserve">from 9.52 </w:t>
      </w:r>
      <w:proofErr w:type="spellStart"/>
      <w:r>
        <w:rPr>
          <w:rFonts w:ascii="Times New Roman" w:hAnsi="Times New Roman" w:cs="Times New Roman"/>
          <w:sz w:val="24"/>
          <w:szCs w:val="24"/>
          <w:lang w:val="en-US"/>
        </w:rPr>
        <w:t>yrs</w:t>
      </w:r>
      <w:proofErr w:type="spellEnd"/>
      <w:r>
        <w:rPr>
          <w:rFonts w:ascii="Times New Roman" w:hAnsi="Times New Roman" w:cs="Times New Roman"/>
          <w:sz w:val="24"/>
          <w:szCs w:val="24"/>
          <w:lang w:val="en-US"/>
        </w:rPr>
        <w:t xml:space="preserve"> to </w:t>
      </w:r>
      <w:r w:rsidR="00CE448D">
        <w:rPr>
          <w:rFonts w:ascii="Times New Roman" w:hAnsi="Times New Roman" w:cs="Times New Roman"/>
          <w:sz w:val="24"/>
          <w:szCs w:val="24"/>
          <w:lang w:val="en-US"/>
        </w:rPr>
        <w:t>6.68</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yrs</w:t>
      </w:r>
      <w:proofErr w:type="spellEnd"/>
      <w:r>
        <w:rPr>
          <w:rFonts w:ascii="Times New Roman" w:hAnsi="Times New Roman" w:cs="Times New Roman"/>
          <w:sz w:val="24"/>
          <w:szCs w:val="24"/>
          <w:lang w:val="en-US"/>
        </w:rPr>
        <w:t xml:space="preserve">, i.e., a reduction of </w:t>
      </w:r>
      <w:r w:rsidR="00CE448D">
        <w:rPr>
          <w:rFonts w:ascii="Times New Roman" w:hAnsi="Times New Roman" w:cs="Times New Roman"/>
          <w:sz w:val="24"/>
          <w:szCs w:val="24"/>
          <w:lang w:val="en-US"/>
        </w:rPr>
        <w:t>30%</w:t>
      </w:r>
      <w:r w:rsidR="00FE0D73">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A similar </w:t>
      </w:r>
      <w:r w:rsidR="00FE0D73">
        <w:rPr>
          <w:rFonts w:ascii="Times New Roman" w:hAnsi="Times New Roman" w:cs="Times New Roman"/>
          <w:sz w:val="24"/>
          <w:szCs w:val="24"/>
          <w:lang w:val="en-US"/>
        </w:rPr>
        <w:t xml:space="preserve">percentage reduction applies to the average residual life </w:t>
      </w:r>
      <w:r w:rsidR="00882A78">
        <w:rPr>
          <w:rFonts w:ascii="Times New Roman" w:hAnsi="Times New Roman" w:cs="Times New Roman"/>
          <w:sz w:val="24"/>
          <w:szCs w:val="24"/>
          <w:lang w:val="en-US"/>
        </w:rPr>
        <w:t xml:space="preserve">expectancy </w:t>
      </w:r>
      <w:r w:rsidR="00FE0D73">
        <w:rPr>
          <w:rFonts w:ascii="Times New Roman" w:hAnsi="Times New Roman" w:cs="Times New Roman"/>
          <w:sz w:val="24"/>
          <w:szCs w:val="24"/>
          <w:lang w:val="en-US"/>
        </w:rPr>
        <w:t xml:space="preserve">of a group.  </w:t>
      </w:r>
      <w:r w:rsidR="00EE4676">
        <w:rPr>
          <w:rFonts w:ascii="Times New Roman" w:hAnsi="Times New Roman" w:cs="Times New Roman"/>
          <w:sz w:val="24"/>
          <w:szCs w:val="24"/>
          <w:lang w:val="en-US"/>
        </w:rPr>
        <w:t xml:space="preserve">As noted </w:t>
      </w:r>
      <w:r w:rsidR="007A4412">
        <w:rPr>
          <w:rFonts w:ascii="Times New Roman" w:hAnsi="Times New Roman" w:cs="Times New Roman"/>
          <w:sz w:val="24"/>
          <w:szCs w:val="24"/>
          <w:lang w:val="en-US"/>
        </w:rPr>
        <w:t>above</w:t>
      </w:r>
      <w:r w:rsidR="00EE4676">
        <w:rPr>
          <w:rFonts w:ascii="Times New Roman" w:hAnsi="Times New Roman" w:cs="Times New Roman"/>
          <w:sz w:val="24"/>
          <w:szCs w:val="24"/>
          <w:lang w:val="en-US"/>
        </w:rPr>
        <w:t xml:space="preserve">, virtually all </w:t>
      </w:r>
      <w:r w:rsidR="005802A8">
        <w:rPr>
          <w:rFonts w:ascii="Times New Roman" w:hAnsi="Times New Roman" w:cs="Times New Roman"/>
          <w:sz w:val="24"/>
          <w:szCs w:val="24"/>
          <w:lang w:val="en-US"/>
        </w:rPr>
        <w:t xml:space="preserve">of the </w:t>
      </w:r>
      <w:r w:rsidR="00EE4676">
        <w:rPr>
          <w:rFonts w:ascii="Times New Roman" w:hAnsi="Times New Roman" w:cs="Times New Roman"/>
          <w:sz w:val="24"/>
          <w:szCs w:val="24"/>
          <w:lang w:val="en-US"/>
        </w:rPr>
        <w:t xml:space="preserve">victims had </w:t>
      </w:r>
      <w:proofErr w:type="gramStart"/>
      <w:r w:rsidR="00EE4676">
        <w:rPr>
          <w:rFonts w:ascii="Times New Roman" w:hAnsi="Times New Roman" w:cs="Times New Roman"/>
          <w:sz w:val="24"/>
          <w:szCs w:val="24"/>
          <w:lang w:val="en-US"/>
        </w:rPr>
        <w:t>at least one co-morbidity</w:t>
      </w:r>
      <w:proofErr w:type="gramEnd"/>
      <w:r w:rsidR="003972D6">
        <w:rPr>
          <w:rFonts w:ascii="Times New Roman" w:hAnsi="Times New Roman" w:cs="Times New Roman"/>
          <w:sz w:val="24"/>
          <w:szCs w:val="24"/>
          <w:lang w:val="en-US"/>
        </w:rPr>
        <w:t xml:space="preserve">, and </w:t>
      </w:r>
      <w:r>
        <w:rPr>
          <w:rFonts w:ascii="Times New Roman" w:hAnsi="Times New Roman" w:cs="Times New Roman"/>
          <w:sz w:val="24"/>
          <w:szCs w:val="24"/>
          <w:lang w:val="en-US"/>
        </w:rPr>
        <w:t>multiple co-morbidities would reduce the average residual life expect</w:t>
      </w:r>
      <w:r w:rsidR="003972D6">
        <w:rPr>
          <w:rFonts w:ascii="Times New Roman" w:hAnsi="Times New Roman" w:cs="Times New Roman"/>
          <w:sz w:val="24"/>
          <w:szCs w:val="24"/>
          <w:lang w:val="en-US"/>
        </w:rPr>
        <w:t>ancy of a group by even more</w:t>
      </w:r>
      <w:r w:rsidR="00015B59">
        <w:rPr>
          <w:rFonts w:ascii="Times New Roman" w:hAnsi="Times New Roman" w:cs="Times New Roman"/>
          <w:sz w:val="24"/>
          <w:szCs w:val="24"/>
          <w:lang w:val="en-US"/>
        </w:rPr>
        <w:t xml:space="preserve"> than estimated here</w:t>
      </w:r>
      <w:r>
        <w:rPr>
          <w:rFonts w:ascii="Times New Roman" w:hAnsi="Times New Roman" w:cs="Times New Roman"/>
          <w:sz w:val="24"/>
          <w:szCs w:val="24"/>
          <w:lang w:val="en-US"/>
        </w:rPr>
        <w:t xml:space="preserve">.  </w:t>
      </w:r>
    </w:p>
    <w:p w:rsidR="00AF185D" w:rsidRDefault="00AF185D" w:rsidP="001E4050">
      <w:pPr>
        <w:pStyle w:val="FootnoteText"/>
        <w:spacing w:line="360" w:lineRule="auto"/>
        <w:jc w:val="both"/>
        <w:rPr>
          <w:rFonts w:ascii="Times New Roman" w:hAnsi="Times New Roman" w:cs="Times New Roman"/>
          <w:sz w:val="24"/>
          <w:szCs w:val="24"/>
          <w:lang w:val="en-US"/>
        </w:rPr>
      </w:pPr>
    </w:p>
    <w:p w:rsidR="00AF185D" w:rsidRDefault="00AF185D" w:rsidP="001E4050">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Allowing for this additional feature of the covid-19 victims is simplified by the fact that virtually all covid-19 victims had co-morbidities.  So, the subset of </w:t>
      </w:r>
      <w:r w:rsidR="003C7F3F">
        <w:rPr>
          <w:rFonts w:ascii="Times New Roman" w:hAnsi="Times New Roman" w:cs="Times New Roman"/>
          <w:sz w:val="24"/>
          <w:szCs w:val="24"/>
          <w:lang w:val="en-US"/>
        </w:rPr>
        <w:t xml:space="preserve">Swedish </w:t>
      </w:r>
      <w:r>
        <w:rPr>
          <w:rFonts w:ascii="Times New Roman" w:hAnsi="Times New Roman" w:cs="Times New Roman"/>
          <w:sz w:val="24"/>
          <w:szCs w:val="24"/>
          <w:lang w:val="en-US"/>
        </w:rPr>
        <w:t xml:space="preserve">victims from nursing homes have their residual life expectancy </w:t>
      </w:r>
      <w:r w:rsidR="009333AB">
        <w:rPr>
          <w:rFonts w:ascii="Times New Roman" w:hAnsi="Times New Roman" w:cs="Times New Roman"/>
          <w:sz w:val="24"/>
          <w:szCs w:val="24"/>
          <w:lang w:val="en-US"/>
        </w:rPr>
        <w:t xml:space="preserve">set as before at </w:t>
      </w:r>
      <w:r>
        <w:rPr>
          <w:rFonts w:ascii="Times New Roman" w:hAnsi="Times New Roman" w:cs="Times New Roman"/>
          <w:sz w:val="24"/>
          <w:szCs w:val="24"/>
          <w:lang w:val="en-US"/>
        </w:rPr>
        <w:t>0.6 years (which will also reflect their co-morbidities), and all others have their residual life expectancy reduced by (</w:t>
      </w:r>
      <w:r w:rsidR="00307E39">
        <w:rPr>
          <w:rFonts w:ascii="Times New Roman" w:hAnsi="Times New Roman" w:cs="Times New Roman"/>
          <w:sz w:val="24"/>
          <w:szCs w:val="24"/>
          <w:lang w:val="en-US"/>
        </w:rPr>
        <w:t>conservatively</w:t>
      </w:r>
      <w:r>
        <w:rPr>
          <w:rFonts w:ascii="Times New Roman" w:hAnsi="Times New Roman" w:cs="Times New Roman"/>
          <w:sz w:val="24"/>
          <w:szCs w:val="24"/>
          <w:lang w:val="en-US"/>
        </w:rPr>
        <w:t xml:space="preserve">) </w:t>
      </w:r>
      <w:r w:rsidR="00CE448D">
        <w:rPr>
          <w:rFonts w:ascii="Times New Roman" w:hAnsi="Times New Roman" w:cs="Times New Roman"/>
          <w:sz w:val="24"/>
          <w:szCs w:val="24"/>
          <w:lang w:val="en-US"/>
        </w:rPr>
        <w:t>30%</w:t>
      </w:r>
      <w:r>
        <w:rPr>
          <w:rFonts w:ascii="Times New Roman" w:hAnsi="Times New Roman" w:cs="Times New Roman"/>
          <w:sz w:val="24"/>
          <w:szCs w:val="24"/>
          <w:lang w:val="en-US"/>
        </w:rPr>
        <w:t xml:space="preserve">.  </w:t>
      </w:r>
      <w:r w:rsidR="00702C5A">
        <w:rPr>
          <w:rFonts w:ascii="Times New Roman" w:hAnsi="Times New Roman" w:cs="Times New Roman"/>
          <w:sz w:val="24"/>
          <w:szCs w:val="24"/>
          <w:lang w:val="en-US"/>
        </w:rPr>
        <w:t xml:space="preserve">The results are shown in the </w:t>
      </w:r>
      <w:r w:rsidR="0094250F">
        <w:rPr>
          <w:rFonts w:ascii="Times New Roman" w:hAnsi="Times New Roman" w:cs="Times New Roman"/>
          <w:sz w:val="24"/>
          <w:szCs w:val="24"/>
          <w:lang w:val="en-US"/>
        </w:rPr>
        <w:t xml:space="preserve">penultimate </w:t>
      </w:r>
      <w:r w:rsidR="00267FBA">
        <w:rPr>
          <w:rFonts w:ascii="Times New Roman" w:hAnsi="Times New Roman" w:cs="Times New Roman"/>
          <w:sz w:val="24"/>
          <w:szCs w:val="24"/>
          <w:lang w:val="en-US"/>
        </w:rPr>
        <w:t>column of Table 4</w:t>
      </w:r>
      <w:r w:rsidR="00702C5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the nursing home group conservatively assumed </w:t>
      </w:r>
      <w:r w:rsidR="00241C9A">
        <w:rPr>
          <w:rFonts w:ascii="Times New Roman" w:hAnsi="Times New Roman" w:cs="Times New Roman"/>
          <w:sz w:val="24"/>
          <w:szCs w:val="24"/>
          <w:lang w:val="en-US"/>
        </w:rPr>
        <w:t xml:space="preserve">(as before) </w:t>
      </w:r>
      <w:r>
        <w:rPr>
          <w:rFonts w:ascii="Times New Roman" w:hAnsi="Times New Roman" w:cs="Times New Roman"/>
          <w:sz w:val="24"/>
          <w:szCs w:val="24"/>
          <w:lang w:val="en-US"/>
        </w:rPr>
        <w:t>to be the oldest</w:t>
      </w:r>
      <w:r w:rsidR="00975953">
        <w:rPr>
          <w:rFonts w:ascii="Times New Roman" w:hAnsi="Times New Roman" w:cs="Times New Roman"/>
          <w:sz w:val="24"/>
          <w:szCs w:val="24"/>
          <w:lang w:val="en-US"/>
        </w:rPr>
        <w:t>, and the last column of Table 4</w:t>
      </w:r>
      <w:r w:rsidR="0094250F">
        <w:rPr>
          <w:rFonts w:ascii="Times New Roman" w:hAnsi="Times New Roman" w:cs="Times New Roman"/>
          <w:sz w:val="24"/>
          <w:szCs w:val="24"/>
          <w:lang w:val="en-US"/>
        </w:rPr>
        <w:t>, in which the nursing home group</w:t>
      </w:r>
      <w:r w:rsidR="003047CF">
        <w:rPr>
          <w:rFonts w:ascii="Times New Roman" w:hAnsi="Times New Roman" w:cs="Times New Roman"/>
          <w:sz w:val="24"/>
          <w:szCs w:val="24"/>
          <w:lang w:val="en-US"/>
        </w:rPr>
        <w:t xml:space="preserve"> is spread throughout the 70+ groups in proportion to their sizes</w:t>
      </w:r>
      <w:r w:rsidR="00702C5A">
        <w:rPr>
          <w:rFonts w:ascii="Times New Roman" w:hAnsi="Times New Roman" w:cs="Times New Roman"/>
          <w:sz w:val="24"/>
          <w:szCs w:val="24"/>
          <w:lang w:val="en-US"/>
        </w:rPr>
        <w:t>.</w:t>
      </w:r>
      <w:r w:rsidR="00071FB6">
        <w:rPr>
          <w:rStyle w:val="FootnoteReference"/>
          <w:rFonts w:ascii="Times New Roman" w:hAnsi="Times New Roman" w:cs="Times New Roman"/>
          <w:sz w:val="24"/>
          <w:szCs w:val="24"/>
          <w:lang w:val="en-US"/>
        </w:rPr>
        <w:footnoteReference w:id="19"/>
      </w:r>
      <w:r w:rsidR="00702C5A">
        <w:rPr>
          <w:rFonts w:ascii="Times New Roman" w:hAnsi="Times New Roman" w:cs="Times New Roman"/>
          <w:sz w:val="24"/>
          <w:szCs w:val="24"/>
          <w:lang w:val="en-US"/>
        </w:rPr>
        <w:t xml:space="preserve">  The </w:t>
      </w:r>
      <w:r>
        <w:rPr>
          <w:rFonts w:ascii="Times New Roman" w:hAnsi="Times New Roman" w:cs="Times New Roman"/>
          <w:sz w:val="24"/>
          <w:szCs w:val="24"/>
          <w:lang w:val="en-US"/>
        </w:rPr>
        <w:t>average residual life span</w:t>
      </w:r>
      <w:r w:rsidR="00040D45">
        <w:rPr>
          <w:rFonts w:ascii="Times New Roman" w:hAnsi="Times New Roman" w:cs="Times New Roman"/>
          <w:sz w:val="24"/>
          <w:szCs w:val="24"/>
          <w:lang w:val="en-US"/>
        </w:rPr>
        <w:t>s are 5.5 and 4.7</w:t>
      </w:r>
      <w:r w:rsidR="003047CF">
        <w:rPr>
          <w:rFonts w:ascii="Times New Roman" w:hAnsi="Times New Roman" w:cs="Times New Roman"/>
          <w:sz w:val="24"/>
          <w:szCs w:val="24"/>
          <w:lang w:val="en-US"/>
        </w:rPr>
        <w:t xml:space="preserve"> years respectively, and a good estimate would lie between these figures</w:t>
      </w:r>
      <w:r w:rsidR="006B6E5D">
        <w:rPr>
          <w:rFonts w:ascii="Times New Roman" w:hAnsi="Times New Roman" w:cs="Times New Roman"/>
          <w:sz w:val="24"/>
          <w:szCs w:val="24"/>
          <w:lang w:val="en-US"/>
        </w:rPr>
        <w:t xml:space="preserve">.  So, </w:t>
      </w:r>
      <w:r>
        <w:rPr>
          <w:rFonts w:ascii="Times New Roman" w:hAnsi="Times New Roman" w:cs="Times New Roman"/>
          <w:sz w:val="24"/>
          <w:szCs w:val="24"/>
          <w:lang w:val="en-US"/>
        </w:rPr>
        <w:t xml:space="preserve">starting with 10.9 years, the reduction is to </w:t>
      </w:r>
      <w:r w:rsidR="00703634">
        <w:rPr>
          <w:rFonts w:ascii="Times New Roman" w:hAnsi="Times New Roman" w:cs="Times New Roman"/>
          <w:sz w:val="24"/>
          <w:szCs w:val="24"/>
          <w:lang w:val="en-US"/>
        </w:rPr>
        <w:t xml:space="preserve">6.4 - </w:t>
      </w:r>
      <w:r>
        <w:rPr>
          <w:rFonts w:ascii="Times New Roman" w:hAnsi="Times New Roman" w:cs="Times New Roman"/>
          <w:sz w:val="24"/>
          <w:szCs w:val="24"/>
          <w:lang w:val="en-US"/>
        </w:rPr>
        <w:t>7.7 years to account for the nursing home group</w:t>
      </w:r>
      <w:r w:rsidR="006B6E5D">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6B6E5D">
        <w:rPr>
          <w:rFonts w:ascii="Times New Roman" w:hAnsi="Times New Roman" w:cs="Times New Roman"/>
          <w:sz w:val="24"/>
          <w:szCs w:val="24"/>
          <w:lang w:val="en-US"/>
        </w:rPr>
        <w:t xml:space="preserve">then </w:t>
      </w:r>
      <w:r>
        <w:rPr>
          <w:rFonts w:ascii="Times New Roman" w:hAnsi="Times New Roman" w:cs="Times New Roman"/>
          <w:sz w:val="24"/>
          <w:szCs w:val="24"/>
          <w:lang w:val="en-US"/>
        </w:rPr>
        <w:t xml:space="preserve">to </w:t>
      </w:r>
      <w:r w:rsidR="009F6DBE">
        <w:rPr>
          <w:rFonts w:ascii="Times New Roman" w:hAnsi="Times New Roman" w:cs="Times New Roman"/>
          <w:sz w:val="24"/>
          <w:szCs w:val="24"/>
          <w:lang w:val="en-US"/>
        </w:rPr>
        <w:t>4.7</w:t>
      </w:r>
      <w:r w:rsidR="00703634">
        <w:rPr>
          <w:rFonts w:ascii="Times New Roman" w:hAnsi="Times New Roman" w:cs="Times New Roman"/>
          <w:sz w:val="24"/>
          <w:szCs w:val="24"/>
          <w:lang w:val="en-US"/>
        </w:rPr>
        <w:t xml:space="preserve"> </w:t>
      </w:r>
      <w:r w:rsidR="009F6DBE">
        <w:rPr>
          <w:rFonts w:ascii="Times New Roman" w:hAnsi="Times New Roman" w:cs="Times New Roman"/>
          <w:sz w:val="24"/>
          <w:szCs w:val="24"/>
          <w:lang w:val="en-US"/>
        </w:rPr>
        <w:t>–</w:t>
      </w:r>
      <w:r w:rsidR="00703634">
        <w:rPr>
          <w:rFonts w:ascii="Times New Roman" w:hAnsi="Times New Roman" w:cs="Times New Roman"/>
          <w:sz w:val="24"/>
          <w:szCs w:val="24"/>
          <w:lang w:val="en-US"/>
        </w:rPr>
        <w:t xml:space="preserve"> </w:t>
      </w:r>
      <w:r w:rsidR="009F6DBE">
        <w:rPr>
          <w:rFonts w:ascii="Times New Roman" w:hAnsi="Times New Roman" w:cs="Times New Roman"/>
          <w:sz w:val="24"/>
          <w:szCs w:val="24"/>
          <w:lang w:val="en-US"/>
        </w:rPr>
        <w:t>5.5</w:t>
      </w:r>
      <w:r>
        <w:rPr>
          <w:rFonts w:ascii="Times New Roman" w:hAnsi="Times New Roman" w:cs="Times New Roman"/>
          <w:sz w:val="24"/>
          <w:szCs w:val="24"/>
          <w:lang w:val="en-US"/>
        </w:rPr>
        <w:t xml:space="preserve"> </w:t>
      </w:r>
      <w:r w:rsidR="00881C4F">
        <w:rPr>
          <w:rFonts w:ascii="Times New Roman" w:hAnsi="Times New Roman" w:cs="Times New Roman"/>
          <w:sz w:val="24"/>
          <w:szCs w:val="24"/>
          <w:lang w:val="en-US"/>
        </w:rPr>
        <w:t xml:space="preserve">years </w:t>
      </w:r>
      <w:r w:rsidR="006B6E5D">
        <w:rPr>
          <w:rFonts w:ascii="Times New Roman" w:hAnsi="Times New Roman" w:cs="Times New Roman"/>
          <w:sz w:val="24"/>
          <w:szCs w:val="24"/>
          <w:lang w:val="en-US"/>
        </w:rPr>
        <w:t xml:space="preserve">to additionally account </w:t>
      </w:r>
      <w:r>
        <w:rPr>
          <w:rFonts w:ascii="Times New Roman" w:hAnsi="Times New Roman" w:cs="Times New Roman"/>
          <w:sz w:val="24"/>
          <w:szCs w:val="24"/>
          <w:lang w:val="en-US"/>
        </w:rPr>
        <w:t>for co-morbidities in the res</w:t>
      </w:r>
      <w:r w:rsidR="00CE448D">
        <w:rPr>
          <w:rFonts w:ascii="Times New Roman" w:hAnsi="Times New Roman" w:cs="Times New Roman"/>
          <w:sz w:val="24"/>
          <w:szCs w:val="24"/>
          <w:lang w:val="en-US"/>
        </w:rPr>
        <w:t>t.</w:t>
      </w:r>
    </w:p>
    <w:p w:rsidR="00560015" w:rsidRDefault="00560015" w:rsidP="001E4050">
      <w:pPr>
        <w:pStyle w:val="FootnoteText"/>
        <w:spacing w:line="360" w:lineRule="auto"/>
        <w:jc w:val="both"/>
        <w:rPr>
          <w:rFonts w:ascii="Times New Roman" w:hAnsi="Times New Roman" w:cs="Times New Roman"/>
          <w:sz w:val="24"/>
          <w:szCs w:val="24"/>
          <w:lang w:val="en-US"/>
        </w:rPr>
      </w:pPr>
    </w:p>
    <w:p w:rsidR="00B70424" w:rsidRDefault="00267FBA" w:rsidP="00F711E0">
      <w:pPr>
        <w:pStyle w:val="FootnoteText"/>
        <w:jc w:val="center"/>
        <w:rPr>
          <w:rFonts w:ascii="Times New Roman" w:hAnsi="Times New Roman" w:cs="Times New Roman"/>
          <w:sz w:val="24"/>
          <w:szCs w:val="24"/>
          <w:lang w:val="en-US"/>
        </w:rPr>
      </w:pPr>
      <w:r>
        <w:rPr>
          <w:rFonts w:ascii="Times New Roman" w:hAnsi="Times New Roman" w:cs="Times New Roman"/>
          <w:sz w:val="24"/>
          <w:szCs w:val="24"/>
          <w:lang w:val="en-US"/>
        </w:rPr>
        <w:t>Table 4</w:t>
      </w:r>
      <w:r w:rsidR="00F711E0">
        <w:rPr>
          <w:rFonts w:ascii="Times New Roman" w:hAnsi="Times New Roman" w:cs="Times New Roman"/>
          <w:sz w:val="24"/>
          <w:szCs w:val="24"/>
          <w:lang w:val="en-US"/>
        </w:rPr>
        <w:t xml:space="preserve">: </w:t>
      </w:r>
      <w:r w:rsidR="00795B57">
        <w:rPr>
          <w:rFonts w:ascii="Times New Roman" w:hAnsi="Times New Roman" w:cs="Times New Roman"/>
          <w:sz w:val="24"/>
          <w:szCs w:val="24"/>
          <w:lang w:val="en-US"/>
        </w:rPr>
        <w:t xml:space="preserve">Residual </w:t>
      </w:r>
      <w:r w:rsidR="00F711E0">
        <w:rPr>
          <w:rFonts w:ascii="Times New Roman" w:hAnsi="Times New Roman" w:cs="Times New Roman"/>
          <w:sz w:val="24"/>
          <w:szCs w:val="24"/>
          <w:lang w:val="en-US"/>
        </w:rPr>
        <w:t>Life Expectancy of Swedish Covid-19 Victims</w:t>
      </w:r>
    </w:p>
    <w:p w:rsidR="00B70424" w:rsidRDefault="00F711E0" w:rsidP="001E4050">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F711E0" w:rsidRDefault="00F711E0" w:rsidP="001B3DE9">
      <w:pPr>
        <w:pStyle w:val="FootnoteText"/>
        <w:jc w:val="both"/>
        <w:rPr>
          <w:rFonts w:ascii="Times New Roman" w:hAnsi="Times New Roman" w:cs="Times New Roman"/>
          <w:sz w:val="24"/>
          <w:szCs w:val="24"/>
          <w:lang w:val="en-US"/>
        </w:rPr>
      </w:pPr>
      <w:r>
        <w:rPr>
          <w:rFonts w:ascii="Times New Roman" w:hAnsi="Times New Roman" w:cs="Times New Roman"/>
          <w:sz w:val="24"/>
          <w:szCs w:val="24"/>
          <w:lang w:val="en-US"/>
        </w:rPr>
        <w:t>Age Group</w:t>
      </w:r>
      <w:r w:rsidR="00A40BB6">
        <w:rPr>
          <w:rFonts w:ascii="Times New Roman" w:hAnsi="Times New Roman" w:cs="Times New Roman"/>
          <w:sz w:val="24"/>
          <w:szCs w:val="24"/>
          <w:lang w:val="en-US"/>
        </w:rPr>
        <w:t xml:space="preserve">      </w:t>
      </w:r>
      <w:r w:rsidR="001B7932">
        <w:rPr>
          <w:rFonts w:ascii="Times New Roman" w:hAnsi="Times New Roman" w:cs="Times New Roman"/>
          <w:sz w:val="24"/>
          <w:szCs w:val="24"/>
          <w:lang w:val="en-US"/>
        </w:rPr>
        <w:t xml:space="preserve">Victims       </w:t>
      </w:r>
      <w:r w:rsidR="00A40BB6">
        <w:rPr>
          <w:rFonts w:ascii="Times New Roman" w:hAnsi="Times New Roman" w:cs="Times New Roman"/>
          <w:sz w:val="24"/>
          <w:szCs w:val="24"/>
          <w:lang w:val="en-US"/>
        </w:rPr>
        <w:t xml:space="preserve">             </w:t>
      </w:r>
      <w:r w:rsidR="00801C2B">
        <w:rPr>
          <w:rFonts w:ascii="Times New Roman" w:hAnsi="Times New Roman" w:cs="Times New Roman"/>
          <w:sz w:val="24"/>
          <w:szCs w:val="24"/>
          <w:lang w:val="en-US"/>
        </w:rPr>
        <w:t>RLE</w:t>
      </w:r>
      <w:r w:rsidR="00A40BB6">
        <w:rPr>
          <w:rFonts w:ascii="Times New Roman" w:hAnsi="Times New Roman" w:cs="Times New Roman"/>
          <w:sz w:val="24"/>
          <w:szCs w:val="24"/>
          <w:lang w:val="en-US"/>
        </w:rPr>
        <w:t xml:space="preserve">                </w:t>
      </w:r>
      <w:proofErr w:type="spellStart"/>
      <w:r w:rsidR="006E5DCA">
        <w:rPr>
          <w:rFonts w:ascii="Times New Roman" w:hAnsi="Times New Roman" w:cs="Times New Roman"/>
          <w:sz w:val="24"/>
          <w:szCs w:val="24"/>
          <w:lang w:val="en-US"/>
        </w:rPr>
        <w:t>RLE</w:t>
      </w:r>
      <w:proofErr w:type="spellEnd"/>
      <w:r w:rsidR="00702C5A">
        <w:rPr>
          <w:rFonts w:ascii="Times New Roman" w:hAnsi="Times New Roman" w:cs="Times New Roman"/>
          <w:sz w:val="24"/>
          <w:szCs w:val="24"/>
          <w:lang w:val="en-US"/>
        </w:rPr>
        <w:t xml:space="preserve">  </w:t>
      </w:r>
      <w:r w:rsidR="00A40BB6">
        <w:rPr>
          <w:rFonts w:ascii="Times New Roman" w:hAnsi="Times New Roman" w:cs="Times New Roman"/>
          <w:sz w:val="24"/>
          <w:szCs w:val="24"/>
          <w:lang w:val="en-US"/>
        </w:rPr>
        <w:t xml:space="preserve">                  </w:t>
      </w:r>
      <w:proofErr w:type="spellStart"/>
      <w:r w:rsidR="00702C5A">
        <w:rPr>
          <w:rFonts w:ascii="Times New Roman" w:hAnsi="Times New Roman" w:cs="Times New Roman"/>
          <w:sz w:val="24"/>
          <w:szCs w:val="24"/>
          <w:lang w:val="en-US"/>
        </w:rPr>
        <w:t>RLE</w:t>
      </w:r>
      <w:proofErr w:type="spellEnd"/>
      <w:r w:rsidR="009C68E3">
        <w:rPr>
          <w:rFonts w:ascii="Times New Roman" w:hAnsi="Times New Roman" w:cs="Times New Roman"/>
          <w:sz w:val="24"/>
          <w:szCs w:val="24"/>
          <w:lang w:val="en-US"/>
        </w:rPr>
        <w:t xml:space="preserve">                  </w:t>
      </w:r>
      <w:proofErr w:type="spellStart"/>
      <w:r w:rsidR="009C68E3">
        <w:rPr>
          <w:rFonts w:ascii="Times New Roman" w:hAnsi="Times New Roman" w:cs="Times New Roman"/>
          <w:sz w:val="24"/>
          <w:szCs w:val="24"/>
          <w:lang w:val="en-US"/>
        </w:rPr>
        <w:t>RLE</w:t>
      </w:r>
      <w:proofErr w:type="spellEnd"/>
    </w:p>
    <w:p w:rsidR="001B3DE9" w:rsidRDefault="001B3DE9" w:rsidP="001E4050">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F711E0" w:rsidRDefault="00F711E0" w:rsidP="00A40B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0-9</w:t>
      </w:r>
      <w:r>
        <w:rPr>
          <w:rFonts w:ascii="Times New Roman" w:hAnsi="Times New Roman" w:cs="Times New Roman"/>
          <w:sz w:val="24"/>
          <w:szCs w:val="24"/>
          <w:lang w:val="en-US"/>
        </w:rPr>
        <w:tab/>
      </w:r>
      <w:r w:rsidR="0081524D">
        <w:rPr>
          <w:rFonts w:ascii="Times New Roman" w:hAnsi="Times New Roman" w:cs="Times New Roman"/>
          <w:sz w:val="24"/>
          <w:szCs w:val="24"/>
          <w:lang w:val="en-US"/>
        </w:rPr>
        <w:t>2</w:t>
      </w:r>
      <w:r w:rsidR="0081524D">
        <w:rPr>
          <w:rFonts w:ascii="Times New Roman" w:hAnsi="Times New Roman" w:cs="Times New Roman"/>
          <w:sz w:val="24"/>
          <w:szCs w:val="24"/>
          <w:lang w:val="en-US"/>
        </w:rPr>
        <w:tab/>
      </w:r>
      <w:r>
        <w:rPr>
          <w:rFonts w:ascii="Times New Roman" w:hAnsi="Times New Roman" w:cs="Times New Roman"/>
          <w:sz w:val="24"/>
          <w:szCs w:val="24"/>
          <w:lang w:val="en-US"/>
        </w:rPr>
        <w:t>79.55</w:t>
      </w:r>
      <w:r w:rsidR="00E804DF">
        <w:rPr>
          <w:rFonts w:ascii="Times New Roman" w:hAnsi="Times New Roman" w:cs="Times New Roman"/>
          <w:sz w:val="24"/>
          <w:szCs w:val="24"/>
          <w:lang w:val="en-US"/>
        </w:rPr>
        <w:tab/>
        <w:t>79.55</w:t>
      </w:r>
      <w:r w:rsidR="00702C5A">
        <w:rPr>
          <w:rFonts w:ascii="Times New Roman" w:hAnsi="Times New Roman" w:cs="Times New Roman"/>
          <w:sz w:val="24"/>
          <w:szCs w:val="24"/>
          <w:lang w:val="en-US"/>
        </w:rPr>
        <w:tab/>
        <w:t>79.55</w:t>
      </w:r>
      <w:r w:rsidR="00071FB6">
        <w:rPr>
          <w:rFonts w:ascii="Times New Roman" w:hAnsi="Times New Roman" w:cs="Times New Roman"/>
          <w:sz w:val="24"/>
          <w:szCs w:val="24"/>
          <w:lang w:val="en-US"/>
        </w:rPr>
        <w:t>(</w:t>
      </w:r>
      <w:r w:rsidR="00644B28">
        <w:rPr>
          <w:rFonts w:ascii="Times New Roman" w:hAnsi="Times New Roman" w:cs="Times New Roman"/>
          <w:sz w:val="24"/>
          <w:szCs w:val="24"/>
          <w:lang w:val="en-US"/>
        </w:rPr>
        <w:t>0.7</w:t>
      </w:r>
      <w:r w:rsidR="00071FB6">
        <w:rPr>
          <w:rFonts w:ascii="Times New Roman" w:hAnsi="Times New Roman" w:cs="Times New Roman"/>
          <w:sz w:val="24"/>
          <w:szCs w:val="24"/>
          <w:lang w:val="en-US"/>
        </w:rPr>
        <w:t>)</w:t>
      </w:r>
      <w:r w:rsidR="00A40BB6">
        <w:rPr>
          <w:rFonts w:ascii="Times New Roman" w:hAnsi="Times New Roman" w:cs="Times New Roman"/>
          <w:sz w:val="24"/>
          <w:szCs w:val="24"/>
          <w:lang w:val="en-US"/>
        </w:rPr>
        <w:tab/>
        <w:t>79.55(</w:t>
      </w:r>
      <w:r w:rsidR="00644B28">
        <w:rPr>
          <w:rFonts w:ascii="Times New Roman" w:hAnsi="Times New Roman" w:cs="Times New Roman"/>
          <w:sz w:val="24"/>
          <w:szCs w:val="24"/>
          <w:lang w:val="en-US"/>
        </w:rPr>
        <w:t>0.7</w:t>
      </w:r>
      <w:r w:rsidR="00A40BB6">
        <w:rPr>
          <w:rFonts w:ascii="Times New Roman" w:hAnsi="Times New Roman" w:cs="Times New Roman"/>
          <w:sz w:val="24"/>
          <w:szCs w:val="24"/>
          <w:lang w:val="en-US"/>
        </w:rPr>
        <w:t>)</w:t>
      </w:r>
    </w:p>
    <w:p w:rsidR="00F711E0" w:rsidRDefault="00F711E0" w:rsidP="00A40B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20-29</w:t>
      </w:r>
      <w:r>
        <w:rPr>
          <w:rFonts w:ascii="Times New Roman" w:hAnsi="Times New Roman" w:cs="Times New Roman"/>
          <w:sz w:val="24"/>
          <w:szCs w:val="24"/>
          <w:lang w:val="en-US"/>
        </w:rPr>
        <w:tab/>
        <w:t>10</w:t>
      </w:r>
      <w:r>
        <w:rPr>
          <w:rFonts w:ascii="Times New Roman" w:hAnsi="Times New Roman" w:cs="Times New Roman"/>
          <w:sz w:val="24"/>
          <w:szCs w:val="24"/>
          <w:lang w:val="en-US"/>
        </w:rPr>
        <w:tab/>
        <w:t>60.25</w:t>
      </w:r>
      <w:r w:rsidR="00E804DF">
        <w:rPr>
          <w:rFonts w:ascii="Times New Roman" w:hAnsi="Times New Roman" w:cs="Times New Roman"/>
          <w:sz w:val="24"/>
          <w:szCs w:val="24"/>
          <w:lang w:val="en-US"/>
        </w:rPr>
        <w:tab/>
        <w:t>60.25</w:t>
      </w:r>
      <w:r w:rsidR="00702C5A">
        <w:rPr>
          <w:rFonts w:ascii="Times New Roman" w:hAnsi="Times New Roman" w:cs="Times New Roman"/>
          <w:sz w:val="24"/>
          <w:szCs w:val="24"/>
          <w:lang w:val="en-US"/>
        </w:rPr>
        <w:tab/>
        <w:t>60.25</w:t>
      </w:r>
      <w:r w:rsidR="00071FB6">
        <w:rPr>
          <w:rFonts w:ascii="Times New Roman" w:hAnsi="Times New Roman" w:cs="Times New Roman"/>
          <w:sz w:val="24"/>
          <w:szCs w:val="24"/>
          <w:lang w:val="en-US"/>
        </w:rPr>
        <w:t>(</w:t>
      </w:r>
      <w:r w:rsidR="00644B28">
        <w:rPr>
          <w:rFonts w:ascii="Times New Roman" w:hAnsi="Times New Roman" w:cs="Times New Roman"/>
          <w:sz w:val="24"/>
          <w:szCs w:val="24"/>
          <w:lang w:val="en-US"/>
        </w:rPr>
        <w:t>0.7</w:t>
      </w:r>
      <w:r w:rsidR="00071FB6">
        <w:rPr>
          <w:rFonts w:ascii="Times New Roman" w:hAnsi="Times New Roman" w:cs="Times New Roman"/>
          <w:sz w:val="24"/>
          <w:szCs w:val="24"/>
          <w:lang w:val="en-US"/>
        </w:rPr>
        <w:t>)</w:t>
      </w:r>
      <w:r w:rsidR="00A40BB6">
        <w:rPr>
          <w:rFonts w:ascii="Times New Roman" w:hAnsi="Times New Roman" w:cs="Times New Roman"/>
          <w:sz w:val="24"/>
          <w:szCs w:val="24"/>
          <w:lang w:val="en-US"/>
        </w:rPr>
        <w:tab/>
        <w:t>60.35(</w:t>
      </w:r>
      <w:r w:rsidR="00644B28">
        <w:rPr>
          <w:rFonts w:ascii="Times New Roman" w:hAnsi="Times New Roman" w:cs="Times New Roman"/>
          <w:sz w:val="24"/>
          <w:szCs w:val="24"/>
          <w:lang w:val="en-US"/>
        </w:rPr>
        <w:t>0.7</w:t>
      </w:r>
      <w:r w:rsidR="00A40BB6">
        <w:rPr>
          <w:rFonts w:ascii="Times New Roman" w:hAnsi="Times New Roman" w:cs="Times New Roman"/>
          <w:sz w:val="24"/>
          <w:szCs w:val="24"/>
          <w:lang w:val="en-US"/>
        </w:rPr>
        <w:t>)</w:t>
      </w:r>
    </w:p>
    <w:p w:rsidR="00F711E0" w:rsidRDefault="00F711E0" w:rsidP="00A40B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30-39</w:t>
      </w:r>
      <w:r>
        <w:rPr>
          <w:rFonts w:ascii="Times New Roman" w:hAnsi="Times New Roman" w:cs="Times New Roman"/>
          <w:sz w:val="24"/>
          <w:szCs w:val="24"/>
          <w:lang w:val="en-US"/>
        </w:rPr>
        <w:tab/>
        <w:t>19</w:t>
      </w:r>
      <w:r>
        <w:rPr>
          <w:rFonts w:ascii="Times New Roman" w:hAnsi="Times New Roman" w:cs="Times New Roman"/>
          <w:sz w:val="24"/>
          <w:szCs w:val="24"/>
          <w:lang w:val="en-US"/>
        </w:rPr>
        <w:tab/>
        <w:t>50.5</w:t>
      </w:r>
      <w:r w:rsidR="00E804DF">
        <w:rPr>
          <w:rFonts w:ascii="Times New Roman" w:hAnsi="Times New Roman" w:cs="Times New Roman"/>
          <w:sz w:val="24"/>
          <w:szCs w:val="24"/>
          <w:lang w:val="en-US"/>
        </w:rPr>
        <w:tab/>
        <w:t>50.5</w:t>
      </w:r>
      <w:r w:rsidR="00702C5A">
        <w:rPr>
          <w:rFonts w:ascii="Times New Roman" w:hAnsi="Times New Roman" w:cs="Times New Roman"/>
          <w:sz w:val="24"/>
          <w:szCs w:val="24"/>
          <w:lang w:val="en-US"/>
        </w:rPr>
        <w:tab/>
        <w:t>50.5</w:t>
      </w:r>
      <w:r w:rsidR="00071FB6">
        <w:rPr>
          <w:rFonts w:ascii="Times New Roman" w:hAnsi="Times New Roman" w:cs="Times New Roman"/>
          <w:sz w:val="24"/>
          <w:szCs w:val="24"/>
          <w:lang w:val="en-US"/>
        </w:rPr>
        <w:t>(</w:t>
      </w:r>
      <w:r w:rsidR="00644B28">
        <w:rPr>
          <w:rFonts w:ascii="Times New Roman" w:hAnsi="Times New Roman" w:cs="Times New Roman"/>
          <w:sz w:val="24"/>
          <w:szCs w:val="24"/>
          <w:lang w:val="en-US"/>
        </w:rPr>
        <w:t>0.7</w:t>
      </w:r>
      <w:r w:rsidR="00071FB6">
        <w:rPr>
          <w:rFonts w:ascii="Times New Roman" w:hAnsi="Times New Roman" w:cs="Times New Roman"/>
          <w:sz w:val="24"/>
          <w:szCs w:val="24"/>
          <w:lang w:val="en-US"/>
        </w:rPr>
        <w:t>)</w:t>
      </w:r>
      <w:r w:rsidR="00A40BB6">
        <w:rPr>
          <w:rFonts w:ascii="Times New Roman" w:hAnsi="Times New Roman" w:cs="Times New Roman"/>
          <w:sz w:val="24"/>
          <w:szCs w:val="24"/>
          <w:lang w:val="en-US"/>
        </w:rPr>
        <w:tab/>
        <w:t>50.5(</w:t>
      </w:r>
      <w:r w:rsidR="00644B28">
        <w:rPr>
          <w:rFonts w:ascii="Times New Roman" w:hAnsi="Times New Roman" w:cs="Times New Roman"/>
          <w:sz w:val="24"/>
          <w:szCs w:val="24"/>
          <w:lang w:val="en-US"/>
        </w:rPr>
        <w:t>0.7</w:t>
      </w:r>
      <w:r w:rsidR="00A40BB6">
        <w:rPr>
          <w:rFonts w:ascii="Times New Roman" w:hAnsi="Times New Roman" w:cs="Times New Roman"/>
          <w:sz w:val="24"/>
          <w:szCs w:val="24"/>
          <w:lang w:val="en-US"/>
        </w:rPr>
        <w:t>)</w:t>
      </w:r>
    </w:p>
    <w:p w:rsidR="00F711E0" w:rsidRDefault="00F711E0" w:rsidP="00A40B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40-49</w:t>
      </w:r>
      <w:r>
        <w:rPr>
          <w:rFonts w:ascii="Times New Roman" w:hAnsi="Times New Roman" w:cs="Times New Roman"/>
          <w:sz w:val="24"/>
          <w:szCs w:val="24"/>
          <w:lang w:val="en-US"/>
        </w:rPr>
        <w:tab/>
        <w:t>45</w:t>
      </w:r>
      <w:r>
        <w:rPr>
          <w:rFonts w:ascii="Times New Roman" w:hAnsi="Times New Roman" w:cs="Times New Roman"/>
          <w:sz w:val="24"/>
          <w:szCs w:val="24"/>
          <w:lang w:val="en-US"/>
        </w:rPr>
        <w:tab/>
        <w:t>40.8</w:t>
      </w:r>
      <w:r w:rsidR="00E804DF">
        <w:rPr>
          <w:rFonts w:ascii="Times New Roman" w:hAnsi="Times New Roman" w:cs="Times New Roman"/>
          <w:sz w:val="24"/>
          <w:szCs w:val="24"/>
          <w:lang w:val="en-US"/>
        </w:rPr>
        <w:tab/>
        <w:t>40.8</w:t>
      </w:r>
      <w:r w:rsidR="00702C5A">
        <w:rPr>
          <w:rFonts w:ascii="Times New Roman" w:hAnsi="Times New Roman" w:cs="Times New Roman"/>
          <w:sz w:val="24"/>
          <w:szCs w:val="24"/>
          <w:lang w:val="en-US"/>
        </w:rPr>
        <w:tab/>
        <w:t>40.8</w:t>
      </w:r>
      <w:r w:rsidR="00071FB6">
        <w:rPr>
          <w:rFonts w:ascii="Times New Roman" w:hAnsi="Times New Roman" w:cs="Times New Roman"/>
          <w:sz w:val="24"/>
          <w:szCs w:val="24"/>
          <w:lang w:val="en-US"/>
        </w:rPr>
        <w:t>(</w:t>
      </w:r>
      <w:r w:rsidR="00644B28">
        <w:rPr>
          <w:rFonts w:ascii="Times New Roman" w:hAnsi="Times New Roman" w:cs="Times New Roman"/>
          <w:sz w:val="24"/>
          <w:szCs w:val="24"/>
          <w:lang w:val="en-US"/>
        </w:rPr>
        <w:t>0.7</w:t>
      </w:r>
      <w:r w:rsidR="00071FB6">
        <w:rPr>
          <w:rFonts w:ascii="Times New Roman" w:hAnsi="Times New Roman" w:cs="Times New Roman"/>
          <w:sz w:val="24"/>
          <w:szCs w:val="24"/>
          <w:lang w:val="en-US"/>
        </w:rPr>
        <w:t>)</w:t>
      </w:r>
      <w:r w:rsidR="00A40BB6">
        <w:rPr>
          <w:rFonts w:ascii="Times New Roman" w:hAnsi="Times New Roman" w:cs="Times New Roman"/>
          <w:sz w:val="24"/>
          <w:szCs w:val="24"/>
          <w:lang w:val="en-US"/>
        </w:rPr>
        <w:tab/>
        <w:t>40.8(</w:t>
      </w:r>
      <w:r w:rsidR="00644B28">
        <w:rPr>
          <w:rFonts w:ascii="Times New Roman" w:hAnsi="Times New Roman" w:cs="Times New Roman"/>
          <w:sz w:val="24"/>
          <w:szCs w:val="24"/>
          <w:lang w:val="en-US"/>
        </w:rPr>
        <w:t>0.7</w:t>
      </w:r>
      <w:r w:rsidR="00A40BB6">
        <w:rPr>
          <w:rFonts w:ascii="Times New Roman" w:hAnsi="Times New Roman" w:cs="Times New Roman"/>
          <w:sz w:val="24"/>
          <w:szCs w:val="24"/>
          <w:lang w:val="en-US"/>
        </w:rPr>
        <w:t>)</w:t>
      </w:r>
    </w:p>
    <w:p w:rsidR="00F711E0" w:rsidRDefault="00F711E0" w:rsidP="00A40B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50-59</w:t>
      </w:r>
      <w:r>
        <w:rPr>
          <w:rFonts w:ascii="Times New Roman" w:hAnsi="Times New Roman" w:cs="Times New Roman"/>
          <w:sz w:val="24"/>
          <w:szCs w:val="24"/>
          <w:lang w:val="en-US"/>
        </w:rPr>
        <w:tab/>
        <w:t>164</w:t>
      </w:r>
      <w:r>
        <w:rPr>
          <w:rFonts w:ascii="Times New Roman" w:hAnsi="Times New Roman" w:cs="Times New Roman"/>
          <w:sz w:val="24"/>
          <w:szCs w:val="24"/>
          <w:lang w:val="en-US"/>
        </w:rPr>
        <w:tab/>
        <w:t>31.3</w:t>
      </w:r>
      <w:r w:rsidR="00E804DF">
        <w:rPr>
          <w:rFonts w:ascii="Times New Roman" w:hAnsi="Times New Roman" w:cs="Times New Roman"/>
          <w:sz w:val="24"/>
          <w:szCs w:val="24"/>
          <w:lang w:val="en-US"/>
        </w:rPr>
        <w:tab/>
        <w:t>31.3</w:t>
      </w:r>
      <w:r w:rsidR="00702C5A">
        <w:rPr>
          <w:rFonts w:ascii="Times New Roman" w:hAnsi="Times New Roman" w:cs="Times New Roman"/>
          <w:sz w:val="24"/>
          <w:szCs w:val="24"/>
          <w:lang w:val="en-US"/>
        </w:rPr>
        <w:tab/>
        <w:t>31.3</w:t>
      </w:r>
      <w:r w:rsidR="00071FB6">
        <w:rPr>
          <w:rFonts w:ascii="Times New Roman" w:hAnsi="Times New Roman" w:cs="Times New Roman"/>
          <w:sz w:val="24"/>
          <w:szCs w:val="24"/>
          <w:lang w:val="en-US"/>
        </w:rPr>
        <w:t>(</w:t>
      </w:r>
      <w:r w:rsidR="00644B28">
        <w:rPr>
          <w:rFonts w:ascii="Times New Roman" w:hAnsi="Times New Roman" w:cs="Times New Roman"/>
          <w:sz w:val="24"/>
          <w:szCs w:val="24"/>
          <w:lang w:val="en-US"/>
        </w:rPr>
        <w:t>0.7</w:t>
      </w:r>
      <w:r w:rsidR="00071FB6">
        <w:rPr>
          <w:rFonts w:ascii="Times New Roman" w:hAnsi="Times New Roman" w:cs="Times New Roman"/>
          <w:sz w:val="24"/>
          <w:szCs w:val="24"/>
          <w:lang w:val="en-US"/>
        </w:rPr>
        <w:t>)</w:t>
      </w:r>
      <w:r w:rsidR="00A40BB6">
        <w:rPr>
          <w:rFonts w:ascii="Times New Roman" w:hAnsi="Times New Roman" w:cs="Times New Roman"/>
          <w:sz w:val="24"/>
          <w:szCs w:val="24"/>
          <w:lang w:val="en-US"/>
        </w:rPr>
        <w:tab/>
        <w:t>31.3(</w:t>
      </w:r>
      <w:r w:rsidR="00644B28">
        <w:rPr>
          <w:rFonts w:ascii="Times New Roman" w:hAnsi="Times New Roman" w:cs="Times New Roman"/>
          <w:sz w:val="24"/>
          <w:szCs w:val="24"/>
          <w:lang w:val="en-US"/>
        </w:rPr>
        <w:t>0.7</w:t>
      </w:r>
      <w:r w:rsidR="00A40BB6">
        <w:rPr>
          <w:rFonts w:ascii="Times New Roman" w:hAnsi="Times New Roman" w:cs="Times New Roman"/>
          <w:sz w:val="24"/>
          <w:szCs w:val="24"/>
          <w:lang w:val="en-US"/>
        </w:rPr>
        <w:t>)</w:t>
      </w:r>
    </w:p>
    <w:p w:rsidR="00F711E0" w:rsidRDefault="00F711E0" w:rsidP="00A40B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60-69</w:t>
      </w:r>
      <w:r>
        <w:rPr>
          <w:rFonts w:ascii="Times New Roman" w:hAnsi="Times New Roman" w:cs="Times New Roman"/>
          <w:sz w:val="24"/>
          <w:szCs w:val="24"/>
          <w:lang w:val="en-US"/>
        </w:rPr>
        <w:tab/>
        <w:t>406</w:t>
      </w:r>
      <w:r>
        <w:rPr>
          <w:rFonts w:ascii="Times New Roman" w:hAnsi="Times New Roman" w:cs="Times New Roman"/>
          <w:sz w:val="24"/>
          <w:szCs w:val="24"/>
          <w:lang w:val="en-US"/>
        </w:rPr>
        <w:tab/>
        <w:t>22.4</w:t>
      </w:r>
      <w:r w:rsidR="00E804DF">
        <w:rPr>
          <w:rFonts w:ascii="Times New Roman" w:hAnsi="Times New Roman" w:cs="Times New Roman"/>
          <w:sz w:val="24"/>
          <w:szCs w:val="24"/>
          <w:lang w:val="en-US"/>
        </w:rPr>
        <w:tab/>
        <w:t>22.4</w:t>
      </w:r>
      <w:r w:rsidR="00702C5A">
        <w:rPr>
          <w:rFonts w:ascii="Times New Roman" w:hAnsi="Times New Roman" w:cs="Times New Roman"/>
          <w:sz w:val="24"/>
          <w:szCs w:val="24"/>
          <w:lang w:val="en-US"/>
        </w:rPr>
        <w:tab/>
        <w:t>22.4</w:t>
      </w:r>
      <w:r w:rsidR="00071FB6">
        <w:rPr>
          <w:rFonts w:ascii="Times New Roman" w:hAnsi="Times New Roman" w:cs="Times New Roman"/>
          <w:sz w:val="24"/>
          <w:szCs w:val="24"/>
          <w:lang w:val="en-US"/>
        </w:rPr>
        <w:t>(</w:t>
      </w:r>
      <w:r w:rsidR="00644B28">
        <w:rPr>
          <w:rFonts w:ascii="Times New Roman" w:hAnsi="Times New Roman" w:cs="Times New Roman"/>
          <w:sz w:val="24"/>
          <w:szCs w:val="24"/>
          <w:lang w:val="en-US"/>
        </w:rPr>
        <w:t>0.7</w:t>
      </w:r>
      <w:r w:rsidR="00071FB6">
        <w:rPr>
          <w:rFonts w:ascii="Times New Roman" w:hAnsi="Times New Roman" w:cs="Times New Roman"/>
          <w:sz w:val="24"/>
          <w:szCs w:val="24"/>
          <w:lang w:val="en-US"/>
        </w:rPr>
        <w:t>)</w:t>
      </w:r>
      <w:r w:rsidR="00A40BB6">
        <w:rPr>
          <w:rFonts w:ascii="Times New Roman" w:hAnsi="Times New Roman" w:cs="Times New Roman"/>
          <w:sz w:val="24"/>
          <w:szCs w:val="24"/>
          <w:lang w:val="en-US"/>
        </w:rPr>
        <w:tab/>
        <w:t>22.4(</w:t>
      </w:r>
      <w:r w:rsidR="00644B28">
        <w:rPr>
          <w:rFonts w:ascii="Times New Roman" w:hAnsi="Times New Roman" w:cs="Times New Roman"/>
          <w:sz w:val="24"/>
          <w:szCs w:val="24"/>
          <w:lang w:val="en-US"/>
        </w:rPr>
        <w:t>0.7</w:t>
      </w:r>
      <w:r w:rsidR="00A40BB6">
        <w:rPr>
          <w:rFonts w:ascii="Times New Roman" w:hAnsi="Times New Roman" w:cs="Times New Roman"/>
          <w:sz w:val="24"/>
          <w:szCs w:val="24"/>
          <w:lang w:val="en-US"/>
        </w:rPr>
        <w:t>)</w:t>
      </w:r>
    </w:p>
    <w:p w:rsidR="00F711E0" w:rsidRDefault="00F711E0" w:rsidP="00A40B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70-79</w:t>
      </w:r>
      <w:r>
        <w:rPr>
          <w:rFonts w:ascii="Times New Roman" w:hAnsi="Times New Roman" w:cs="Times New Roman"/>
          <w:sz w:val="24"/>
          <w:szCs w:val="24"/>
          <w:lang w:val="en-US"/>
        </w:rPr>
        <w:tab/>
        <w:t>1268</w:t>
      </w:r>
      <w:r w:rsidR="002208B3">
        <w:rPr>
          <w:rFonts w:ascii="Times New Roman" w:hAnsi="Times New Roman" w:cs="Times New Roman"/>
          <w:sz w:val="24"/>
          <w:szCs w:val="24"/>
          <w:lang w:val="en-US"/>
        </w:rPr>
        <w:t xml:space="preserve"> (22%)</w:t>
      </w:r>
      <w:r>
        <w:rPr>
          <w:rFonts w:ascii="Times New Roman" w:hAnsi="Times New Roman" w:cs="Times New Roman"/>
          <w:sz w:val="24"/>
          <w:szCs w:val="24"/>
          <w:lang w:val="en-US"/>
        </w:rPr>
        <w:tab/>
        <w:t>14.3</w:t>
      </w:r>
      <w:r w:rsidR="00E804DF">
        <w:rPr>
          <w:rFonts w:ascii="Times New Roman" w:hAnsi="Times New Roman" w:cs="Times New Roman"/>
          <w:sz w:val="24"/>
          <w:szCs w:val="24"/>
          <w:lang w:val="en-US"/>
        </w:rPr>
        <w:tab/>
        <w:t>14.3</w:t>
      </w:r>
      <w:r w:rsidR="00702C5A">
        <w:rPr>
          <w:rFonts w:ascii="Times New Roman" w:hAnsi="Times New Roman" w:cs="Times New Roman"/>
          <w:sz w:val="24"/>
          <w:szCs w:val="24"/>
          <w:lang w:val="en-US"/>
        </w:rPr>
        <w:tab/>
        <w:t>14.3</w:t>
      </w:r>
      <w:r w:rsidR="00071FB6">
        <w:rPr>
          <w:rFonts w:ascii="Times New Roman" w:hAnsi="Times New Roman" w:cs="Times New Roman"/>
          <w:sz w:val="24"/>
          <w:szCs w:val="24"/>
          <w:lang w:val="en-US"/>
        </w:rPr>
        <w:t>(</w:t>
      </w:r>
      <w:r w:rsidR="00644B28">
        <w:rPr>
          <w:rFonts w:ascii="Times New Roman" w:hAnsi="Times New Roman" w:cs="Times New Roman"/>
          <w:sz w:val="24"/>
          <w:szCs w:val="24"/>
          <w:lang w:val="en-US"/>
        </w:rPr>
        <w:t>0.7</w:t>
      </w:r>
      <w:r w:rsidR="00071FB6">
        <w:rPr>
          <w:rFonts w:ascii="Times New Roman" w:hAnsi="Times New Roman" w:cs="Times New Roman"/>
          <w:sz w:val="24"/>
          <w:szCs w:val="24"/>
          <w:lang w:val="en-US"/>
        </w:rPr>
        <w:t>)</w:t>
      </w:r>
      <w:r w:rsidR="00A40BB6">
        <w:rPr>
          <w:rFonts w:ascii="Times New Roman" w:hAnsi="Times New Roman" w:cs="Times New Roman"/>
          <w:sz w:val="24"/>
          <w:szCs w:val="24"/>
          <w:lang w:val="en-US"/>
        </w:rPr>
        <w:tab/>
      </w:r>
      <w:r w:rsidR="0044555D">
        <w:rPr>
          <w:rFonts w:ascii="Times New Roman" w:hAnsi="Times New Roman" w:cs="Times New Roman"/>
          <w:sz w:val="24"/>
          <w:szCs w:val="24"/>
          <w:lang w:val="en-US"/>
        </w:rPr>
        <w:t>4.45</w:t>
      </w:r>
    </w:p>
    <w:p w:rsidR="001B7932" w:rsidRDefault="006E1C8C" w:rsidP="00A40BB6">
      <w:pPr>
        <w:pStyle w:val="FootnoteText"/>
        <w:tabs>
          <w:tab w:val="left" w:pos="1701"/>
          <w:tab w:val="left" w:pos="3402"/>
          <w:tab w:val="left" w:pos="4820"/>
          <w:tab w:val="left" w:pos="6237"/>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80-84</w:t>
      </w:r>
      <w:r>
        <w:rPr>
          <w:rFonts w:ascii="Times New Roman" w:hAnsi="Times New Roman" w:cs="Times New Roman"/>
          <w:sz w:val="24"/>
          <w:szCs w:val="24"/>
          <w:lang w:val="en-US"/>
        </w:rPr>
        <w:tab/>
        <w:t>1219</w:t>
      </w:r>
      <w:r w:rsidR="000D3485">
        <w:rPr>
          <w:rFonts w:ascii="Times New Roman" w:hAnsi="Times New Roman" w:cs="Times New Roman"/>
          <w:sz w:val="24"/>
          <w:szCs w:val="24"/>
          <w:lang w:val="en-US"/>
        </w:rPr>
        <w:t xml:space="preserve"> </w:t>
      </w:r>
      <w:r w:rsidR="00E903A4">
        <w:rPr>
          <w:rFonts w:ascii="Times New Roman" w:hAnsi="Times New Roman" w:cs="Times New Roman"/>
          <w:sz w:val="24"/>
          <w:szCs w:val="24"/>
          <w:lang w:val="en-US"/>
        </w:rPr>
        <w:t>(21%)</w:t>
      </w:r>
      <w:r w:rsidR="00F711E0">
        <w:rPr>
          <w:rFonts w:ascii="Times New Roman" w:hAnsi="Times New Roman" w:cs="Times New Roman"/>
          <w:sz w:val="24"/>
          <w:szCs w:val="24"/>
          <w:lang w:val="en-US"/>
        </w:rPr>
        <w:tab/>
      </w:r>
      <w:r>
        <w:rPr>
          <w:rFonts w:ascii="Times New Roman" w:hAnsi="Times New Roman" w:cs="Times New Roman"/>
          <w:sz w:val="24"/>
          <w:szCs w:val="24"/>
          <w:lang w:val="en-US"/>
        </w:rPr>
        <w:t>9.1</w:t>
      </w:r>
      <w:r w:rsidR="00E804DF">
        <w:rPr>
          <w:rFonts w:ascii="Times New Roman" w:hAnsi="Times New Roman" w:cs="Times New Roman"/>
          <w:sz w:val="24"/>
          <w:szCs w:val="24"/>
          <w:lang w:val="en-US"/>
        </w:rPr>
        <w:tab/>
        <w:t>6.67</w:t>
      </w:r>
      <w:r w:rsidR="00702C5A">
        <w:rPr>
          <w:rFonts w:ascii="Times New Roman" w:hAnsi="Times New Roman" w:cs="Times New Roman"/>
          <w:sz w:val="24"/>
          <w:szCs w:val="24"/>
          <w:lang w:val="en-US"/>
        </w:rPr>
        <w:tab/>
      </w:r>
      <w:r w:rsidR="0044555D">
        <w:rPr>
          <w:rFonts w:ascii="Times New Roman" w:hAnsi="Times New Roman" w:cs="Times New Roman"/>
          <w:sz w:val="24"/>
          <w:szCs w:val="24"/>
          <w:lang w:val="en-US"/>
        </w:rPr>
        <w:t>4.72</w:t>
      </w:r>
      <w:r w:rsidR="00A40BB6">
        <w:rPr>
          <w:rFonts w:ascii="Times New Roman" w:hAnsi="Times New Roman" w:cs="Times New Roman"/>
          <w:sz w:val="24"/>
          <w:szCs w:val="24"/>
          <w:lang w:val="en-US"/>
        </w:rPr>
        <w:tab/>
      </w:r>
      <w:r w:rsidR="0044555D">
        <w:rPr>
          <w:rFonts w:ascii="Times New Roman" w:hAnsi="Times New Roman" w:cs="Times New Roman"/>
          <w:sz w:val="24"/>
          <w:szCs w:val="24"/>
          <w:lang w:val="en-US"/>
        </w:rPr>
        <w:t>2.80</w:t>
      </w:r>
    </w:p>
    <w:p w:rsidR="00F711E0" w:rsidRDefault="00BA666A" w:rsidP="00A40BB6">
      <w:pPr>
        <w:pStyle w:val="FootnoteText"/>
        <w:tabs>
          <w:tab w:val="left" w:pos="1701"/>
          <w:tab w:val="left" w:pos="3402"/>
          <w:tab w:val="left" w:pos="4820"/>
          <w:tab w:val="left" w:pos="6237"/>
          <w:tab w:val="left" w:pos="7797"/>
        </w:tabs>
        <w:jc w:val="both"/>
        <w:rPr>
          <w:rFonts w:ascii="Times New Roman" w:hAnsi="Times New Roman" w:cs="Times New Roman"/>
          <w:sz w:val="24"/>
          <w:szCs w:val="24"/>
          <w:lang w:val="en-US"/>
        </w:rPr>
      </w:pPr>
      <w:r>
        <w:rPr>
          <w:rFonts w:ascii="Times New Roman" w:hAnsi="Times New Roman" w:cs="Times New Roman"/>
          <w:sz w:val="24"/>
          <w:szCs w:val="24"/>
          <w:lang w:val="en-US"/>
        </w:rPr>
        <w:t>85</w:t>
      </w:r>
      <w:r w:rsidR="00F711E0">
        <w:rPr>
          <w:rFonts w:ascii="Times New Roman" w:hAnsi="Times New Roman" w:cs="Times New Roman"/>
          <w:sz w:val="24"/>
          <w:szCs w:val="24"/>
          <w:lang w:val="en-US"/>
        </w:rPr>
        <w:t>+</w:t>
      </w:r>
      <w:r w:rsidR="00F711E0">
        <w:rPr>
          <w:rFonts w:ascii="Times New Roman" w:hAnsi="Times New Roman" w:cs="Times New Roman"/>
          <w:sz w:val="24"/>
          <w:szCs w:val="24"/>
          <w:lang w:val="en-US"/>
        </w:rPr>
        <w:tab/>
      </w:r>
      <w:r>
        <w:rPr>
          <w:rFonts w:ascii="Times New Roman" w:hAnsi="Times New Roman" w:cs="Times New Roman"/>
          <w:sz w:val="24"/>
          <w:szCs w:val="24"/>
          <w:lang w:val="en-US"/>
        </w:rPr>
        <w:t>2747</w:t>
      </w:r>
      <w:r w:rsidR="000D3485">
        <w:rPr>
          <w:rFonts w:ascii="Times New Roman" w:hAnsi="Times New Roman" w:cs="Times New Roman"/>
          <w:sz w:val="24"/>
          <w:szCs w:val="24"/>
          <w:lang w:val="en-US"/>
        </w:rPr>
        <w:t xml:space="preserve"> (</w:t>
      </w:r>
      <w:r>
        <w:rPr>
          <w:rFonts w:ascii="Times New Roman" w:hAnsi="Times New Roman" w:cs="Times New Roman"/>
          <w:sz w:val="24"/>
          <w:szCs w:val="24"/>
          <w:lang w:val="en-US"/>
        </w:rPr>
        <w:t>47%</w:t>
      </w:r>
      <w:r w:rsidR="000D3485">
        <w:rPr>
          <w:rFonts w:ascii="Times New Roman" w:hAnsi="Times New Roman" w:cs="Times New Roman"/>
          <w:sz w:val="24"/>
          <w:szCs w:val="24"/>
          <w:lang w:val="en-US"/>
        </w:rPr>
        <w:t>)</w:t>
      </w:r>
      <w:r w:rsidR="00F711E0">
        <w:rPr>
          <w:rFonts w:ascii="Times New Roman" w:hAnsi="Times New Roman" w:cs="Times New Roman"/>
          <w:sz w:val="24"/>
          <w:szCs w:val="24"/>
          <w:lang w:val="en-US"/>
        </w:rPr>
        <w:tab/>
      </w:r>
      <w:r w:rsidR="006E1C8C">
        <w:rPr>
          <w:rFonts w:ascii="Times New Roman" w:hAnsi="Times New Roman" w:cs="Times New Roman"/>
          <w:sz w:val="24"/>
          <w:szCs w:val="24"/>
          <w:lang w:val="en-US"/>
        </w:rPr>
        <w:t>6.3</w:t>
      </w:r>
      <w:r w:rsidR="00E804DF">
        <w:rPr>
          <w:rFonts w:ascii="Times New Roman" w:hAnsi="Times New Roman" w:cs="Times New Roman"/>
          <w:sz w:val="24"/>
          <w:szCs w:val="24"/>
          <w:lang w:val="en-US"/>
        </w:rPr>
        <w:tab/>
        <w:t>0.6</w:t>
      </w:r>
      <w:r w:rsidR="00702C5A">
        <w:rPr>
          <w:rFonts w:ascii="Times New Roman" w:hAnsi="Times New Roman" w:cs="Times New Roman"/>
          <w:sz w:val="24"/>
          <w:szCs w:val="24"/>
          <w:lang w:val="en-US"/>
        </w:rPr>
        <w:tab/>
        <w:t>0.6</w:t>
      </w:r>
      <w:r w:rsidR="00A40BB6">
        <w:rPr>
          <w:rFonts w:ascii="Times New Roman" w:hAnsi="Times New Roman" w:cs="Times New Roman"/>
          <w:sz w:val="24"/>
          <w:szCs w:val="24"/>
          <w:lang w:val="en-US"/>
        </w:rPr>
        <w:tab/>
      </w:r>
      <w:r w:rsidR="0044555D">
        <w:rPr>
          <w:rFonts w:ascii="Times New Roman" w:hAnsi="Times New Roman" w:cs="Times New Roman"/>
          <w:sz w:val="24"/>
          <w:szCs w:val="24"/>
          <w:lang w:val="en-US"/>
        </w:rPr>
        <w:t>2.14</w:t>
      </w:r>
    </w:p>
    <w:p w:rsidR="00071FB6" w:rsidRDefault="00071FB6" w:rsidP="00801C2B">
      <w:pPr>
        <w:pStyle w:val="FootnoteText"/>
        <w:tabs>
          <w:tab w:val="left" w:pos="2268"/>
          <w:tab w:val="left" w:pos="3969"/>
          <w:tab w:val="left" w:pos="5670"/>
          <w:tab w:val="left" w:pos="7371"/>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801C2B" w:rsidRDefault="00801C2B" w:rsidP="0046333C">
      <w:pPr>
        <w:pStyle w:val="FootnoteText"/>
        <w:tabs>
          <w:tab w:val="left" w:pos="1701"/>
          <w:tab w:val="left" w:pos="3402"/>
          <w:tab w:val="left" w:pos="4820"/>
          <w:tab w:val="left" w:pos="6237"/>
          <w:tab w:val="left" w:pos="7797"/>
        </w:tabs>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Average</w:t>
      </w:r>
      <w:r w:rsidR="006E5DCA">
        <w:rPr>
          <w:rFonts w:ascii="Times New Roman" w:hAnsi="Times New Roman" w:cs="Times New Roman"/>
          <w:sz w:val="24"/>
          <w:szCs w:val="24"/>
          <w:lang w:val="en-US"/>
        </w:rPr>
        <w:t xml:space="preserve"> (</w:t>
      </w:r>
      <w:proofErr w:type="spellStart"/>
      <w:r w:rsidR="006E5DCA">
        <w:rPr>
          <w:rFonts w:ascii="Times New Roman" w:hAnsi="Times New Roman" w:cs="Times New Roman"/>
          <w:sz w:val="24"/>
          <w:szCs w:val="24"/>
          <w:lang w:val="en-US"/>
        </w:rPr>
        <w:t>yrs</w:t>
      </w:r>
      <w:proofErr w:type="spellEnd"/>
      <w:r w:rsidR="006E5DCA">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t>10.9</w:t>
      </w:r>
      <w:r w:rsidR="00027073">
        <w:rPr>
          <w:rFonts w:ascii="Times New Roman" w:hAnsi="Times New Roman" w:cs="Times New Roman"/>
          <w:sz w:val="24"/>
          <w:szCs w:val="24"/>
          <w:lang w:val="en-US"/>
        </w:rPr>
        <w:tab/>
        <w:t>7.7</w:t>
      </w:r>
      <w:r w:rsidR="00807947">
        <w:rPr>
          <w:rFonts w:ascii="Times New Roman" w:hAnsi="Times New Roman" w:cs="Times New Roman"/>
          <w:sz w:val="24"/>
          <w:szCs w:val="24"/>
          <w:lang w:val="en-US"/>
        </w:rPr>
        <w:tab/>
        <w:t>5.5</w:t>
      </w:r>
      <w:r w:rsidR="0046333C">
        <w:rPr>
          <w:rFonts w:ascii="Times New Roman" w:hAnsi="Times New Roman" w:cs="Times New Roman"/>
          <w:sz w:val="24"/>
          <w:szCs w:val="24"/>
          <w:lang w:val="en-US"/>
        </w:rPr>
        <w:tab/>
      </w:r>
      <w:r w:rsidR="00807947">
        <w:rPr>
          <w:rFonts w:ascii="Times New Roman" w:hAnsi="Times New Roman" w:cs="Times New Roman"/>
          <w:sz w:val="24"/>
          <w:szCs w:val="24"/>
          <w:lang w:val="en-US"/>
        </w:rPr>
        <w:t>4.7</w:t>
      </w:r>
    </w:p>
    <w:p w:rsidR="001B7932" w:rsidRDefault="001B7932" w:rsidP="00F711E0">
      <w:pPr>
        <w:pStyle w:val="FootnoteText"/>
        <w:tabs>
          <w:tab w:val="left" w:pos="2268"/>
          <w:tab w:val="left" w:pos="3402"/>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1B7932" w:rsidRDefault="001B7932" w:rsidP="001E4050">
      <w:pPr>
        <w:pStyle w:val="FootnoteText"/>
        <w:spacing w:line="360" w:lineRule="auto"/>
        <w:jc w:val="both"/>
        <w:rPr>
          <w:rFonts w:ascii="Times New Roman" w:hAnsi="Times New Roman" w:cs="Times New Roman"/>
          <w:sz w:val="24"/>
          <w:szCs w:val="24"/>
          <w:lang w:val="en-US"/>
        </w:rPr>
      </w:pPr>
    </w:p>
    <w:p w:rsidR="00EE347A" w:rsidRDefault="006B6E5D" w:rsidP="001E4050">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process could be repeated for other E</w:t>
      </w:r>
      <w:r w:rsidR="007D788E">
        <w:rPr>
          <w:rFonts w:ascii="Times New Roman" w:hAnsi="Times New Roman" w:cs="Times New Roman"/>
          <w:sz w:val="24"/>
          <w:szCs w:val="24"/>
          <w:lang w:val="en-US"/>
        </w:rPr>
        <w:t xml:space="preserve">uropean countries.  </w:t>
      </w:r>
      <w:r w:rsidR="0089256D" w:rsidRPr="001E4050">
        <w:rPr>
          <w:rFonts w:ascii="Times New Roman" w:hAnsi="Times New Roman" w:cs="Times New Roman"/>
          <w:sz w:val="24"/>
          <w:szCs w:val="24"/>
          <w:lang w:val="en-US"/>
        </w:rPr>
        <w:t xml:space="preserve">Miles et al (2020, </w:t>
      </w:r>
      <w:r w:rsidR="00BA3F30">
        <w:rPr>
          <w:rFonts w:ascii="Times New Roman" w:hAnsi="Times New Roman" w:cs="Times New Roman"/>
          <w:sz w:val="24"/>
          <w:szCs w:val="24"/>
          <w:lang w:val="en-US"/>
        </w:rPr>
        <w:t>Table 1</w:t>
      </w:r>
      <w:r w:rsidR="0089256D" w:rsidRPr="001E4050">
        <w:rPr>
          <w:rFonts w:ascii="Times New Roman" w:hAnsi="Times New Roman" w:cs="Times New Roman"/>
          <w:sz w:val="24"/>
          <w:szCs w:val="24"/>
          <w:lang w:val="en-US"/>
        </w:rPr>
        <w:t xml:space="preserve">) </w:t>
      </w:r>
      <w:r w:rsidR="00CB49B5">
        <w:rPr>
          <w:rFonts w:ascii="Times New Roman" w:hAnsi="Times New Roman" w:cs="Times New Roman"/>
          <w:sz w:val="24"/>
          <w:szCs w:val="24"/>
          <w:lang w:val="en-US"/>
        </w:rPr>
        <w:t>performs an analysis akin to that in th</w:t>
      </w:r>
      <w:r w:rsidR="00975953">
        <w:rPr>
          <w:rFonts w:ascii="Times New Roman" w:hAnsi="Times New Roman" w:cs="Times New Roman"/>
          <w:sz w:val="24"/>
          <w:szCs w:val="24"/>
          <w:lang w:val="en-US"/>
        </w:rPr>
        <w:t>e first three columns of Table 4</w:t>
      </w:r>
      <w:r w:rsidR="00CB49B5">
        <w:rPr>
          <w:rFonts w:ascii="Times New Roman" w:hAnsi="Times New Roman" w:cs="Times New Roman"/>
          <w:sz w:val="24"/>
          <w:szCs w:val="24"/>
          <w:lang w:val="en-US"/>
        </w:rPr>
        <w:t xml:space="preserve">, but matching on both age and sex, and thereby </w:t>
      </w:r>
      <w:r w:rsidR="0089256D" w:rsidRPr="001E4050">
        <w:rPr>
          <w:rFonts w:ascii="Times New Roman" w:hAnsi="Times New Roman" w:cs="Times New Roman"/>
          <w:sz w:val="24"/>
          <w:szCs w:val="24"/>
          <w:lang w:val="en-US"/>
        </w:rPr>
        <w:t>estimate</w:t>
      </w:r>
      <w:r w:rsidR="0089256D">
        <w:rPr>
          <w:rFonts w:ascii="Times New Roman" w:hAnsi="Times New Roman" w:cs="Times New Roman"/>
          <w:sz w:val="24"/>
          <w:szCs w:val="24"/>
          <w:lang w:val="en-US"/>
        </w:rPr>
        <w:t>s the average residual life expectancy of people matching the UK’s covid-19 victim</w:t>
      </w:r>
      <w:r w:rsidR="00CB49B5">
        <w:rPr>
          <w:rFonts w:ascii="Times New Roman" w:hAnsi="Times New Roman" w:cs="Times New Roman"/>
          <w:sz w:val="24"/>
          <w:szCs w:val="24"/>
          <w:lang w:val="en-US"/>
        </w:rPr>
        <w:t>s by age and sex at 10.1 years</w:t>
      </w:r>
      <w:r w:rsidR="0089256D" w:rsidRPr="001E4050">
        <w:rPr>
          <w:rFonts w:ascii="Times New Roman" w:hAnsi="Times New Roman" w:cs="Times New Roman"/>
          <w:sz w:val="24"/>
          <w:szCs w:val="24"/>
          <w:lang w:val="en-US"/>
        </w:rPr>
        <w:t xml:space="preserve">.  </w:t>
      </w:r>
      <w:r w:rsidR="00CB49B5">
        <w:rPr>
          <w:rFonts w:ascii="Times New Roman" w:hAnsi="Times New Roman" w:cs="Times New Roman"/>
          <w:sz w:val="24"/>
          <w:szCs w:val="24"/>
          <w:lang w:val="en-US"/>
        </w:rPr>
        <w:t xml:space="preserve">In addition, </w:t>
      </w:r>
      <w:r w:rsidR="00F6339C">
        <w:rPr>
          <w:rFonts w:ascii="Times New Roman" w:hAnsi="Times New Roman" w:cs="Times New Roman"/>
          <w:sz w:val="24"/>
          <w:szCs w:val="24"/>
          <w:lang w:val="en-US"/>
        </w:rPr>
        <w:t xml:space="preserve">Bell et al (2020, Table 3) notes that 40% of </w:t>
      </w:r>
      <w:r w:rsidR="00906F08">
        <w:rPr>
          <w:rFonts w:ascii="Times New Roman" w:hAnsi="Times New Roman" w:cs="Times New Roman"/>
          <w:sz w:val="24"/>
          <w:szCs w:val="24"/>
          <w:lang w:val="en-US"/>
        </w:rPr>
        <w:t xml:space="preserve">UK </w:t>
      </w:r>
      <w:r w:rsidR="00EE717E">
        <w:rPr>
          <w:rFonts w:ascii="Times New Roman" w:hAnsi="Times New Roman" w:cs="Times New Roman"/>
          <w:sz w:val="24"/>
          <w:szCs w:val="24"/>
          <w:lang w:val="en-US"/>
        </w:rPr>
        <w:t xml:space="preserve">covid-19 </w:t>
      </w:r>
      <w:r w:rsidR="00F6339C">
        <w:rPr>
          <w:rFonts w:ascii="Times New Roman" w:hAnsi="Times New Roman" w:cs="Times New Roman"/>
          <w:sz w:val="24"/>
          <w:szCs w:val="24"/>
          <w:lang w:val="en-US"/>
        </w:rPr>
        <w:t>victims were residents of nursing homes.  Forder and Fernandez (2011, page 3) estimate</w:t>
      </w:r>
      <w:r w:rsidR="00B227E2">
        <w:rPr>
          <w:rFonts w:ascii="Times New Roman" w:hAnsi="Times New Roman" w:cs="Times New Roman"/>
          <w:sz w:val="24"/>
          <w:szCs w:val="24"/>
          <w:lang w:val="en-US"/>
        </w:rPr>
        <w:t>s</w:t>
      </w:r>
      <w:r w:rsidR="00F6339C">
        <w:rPr>
          <w:rFonts w:ascii="Times New Roman" w:hAnsi="Times New Roman" w:cs="Times New Roman"/>
          <w:sz w:val="24"/>
          <w:szCs w:val="24"/>
          <w:lang w:val="en-US"/>
        </w:rPr>
        <w:t xml:space="preserve"> the average length of stay for </w:t>
      </w:r>
      <w:r w:rsidR="00EE717E">
        <w:rPr>
          <w:rFonts w:ascii="Times New Roman" w:hAnsi="Times New Roman" w:cs="Times New Roman"/>
          <w:sz w:val="24"/>
          <w:szCs w:val="24"/>
          <w:lang w:val="en-US"/>
        </w:rPr>
        <w:t xml:space="preserve">UK </w:t>
      </w:r>
      <w:r w:rsidR="00F6339C">
        <w:rPr>
          <w:rFonts w:ascii="Times New Roman" w:hAnsi="Times New Roman" w:cs="Times New Roman"/>
          <w:sz w:val="24"/>
          <w:szCs w:val="24"/>
          <w:lang w:val="en-US"/>
        </w:rPr>
        <w:t xml:space="preserve">nursing home residents </w:t>
      </w:r>
      <w:r w:rsidR="00B227E2">
        <w:rPr>
          <w:rFonts w:ascii="Times New Roman" w:hAnsi="Times New Roman" w:cs="Times New Roman"/>
          <w:sz w:val="24"/>
          <w:szCs w:val="24"/>
          <w:lang w:val="en-US"/>
        </w:rPr>
        <w:t xml:space="preserve">at </w:t>
      </w:r>
      <w:r w:rsidR="00F6339C">
        <w:rPr>
          <w:rFonts w:ascii="Times New Roman" w:hAnsi="Times New Roman" w:cs="Times New Roman"/>
          <w:sz w:val="24"/>
          <w:szCs w:val="24"/>
          <w:lang w:val="en-US"/>
        </w:rPr>
        <w:t xml:space="preserve">801 days, and therefore the residual life expectancy of a randomly selected resident </w:t>
      </w:r>
      <w:r w:rsidR="00B227E2">
        <w:rPr>
          <w:rFonts w:ascii="Times New Roman" w:hAnsi="Times New Roman" w:cs="Times New Roman"/>
          <w:sz w:val="24"/>
          <w:szCs w:val="24"/>
          <w:lang w:val="en-US"/>
        </w:rPr>
        <w:t xml:space="preserve">would be </w:t>
      </w:r>
      <w:r w:rsidR="00F6339C">
        <w:rPr>
          <w:rFonts w:ascii="Times New Roman" w:hAnsi="Times New Roman" w:cs="Times New Roman"/>
          <w:sz w:val="24"/>
          <w:szCs w:val="24"/>
          <w:lang w:val="en-US"/>
        </w:rPr>
        <w:t xml:space="preserve">400 days (1.1 years).  </w:t>
      </w:r>
      <w:r w:rsidR="00882FCA">
        <w:rPr>
          <w:rFonts w:ascii="Times New Roman" w:hAnsi="Times New Roman" w:cs="Times New Roman"/>
          <w:sz w:val="24"/>
          <w:szCs w:val="24"/>
          <w:lang w:val="en-US"/>
        </w:rPr>
        <w:t xml:space="preserve">Conservatively treating this 40% subset of victims as the oldest in Miles et </w:t>
      </w:r>
      <w:proofErr w:type="spellStart"/>
      <w:r w:rsidR="00882FCA">
        <w:rPr>
          <w:rFonts w:ascii="Times New Roman" w:hAnsi="Times New Roman" w:cs="Times New Roman"/>
          <w:sz w:val="24"/>
          <w:szCs w:val="24"/>
          <w:lang w:val="en-US"/>
        </w:rPr>
        <w:t>al’s</w:t>
      </w:r>
      <w:proofErr w:type="spellEnd"/>
      <w:r w:rsidR="00882FCA">
        <w:rPr>
          <w:rFonts w:ascii="Times New Roman" w:hAnsi="Times New Roman" w:cs="Times New Roman"/>
          <w:sz w:val="24"/>
          <w:szCs w:val="24"/>
          <w:lang w:val="en-US"/>
        </w:rPr>
        <w:t xml:space="preserve"> set of victims, they correspond to </w:t>
      </w:r>
      <w:r w:rsidR="00D86D8A">
        <w:rPr>
          <w:rFonts w:ascii="Times New Roman" w:hAnsi="Times New Roman" w:cs="Times New Roman"/>
          <w:sz w:val="24"/>
          <w:szCs w:val="24"/>
          <w:lang w:val="en-US"/>
        </w:rPr>
        <w:t xml:space="preserve">all of </w:t>
      </w:r>
      <w:r w:rsidR="00882FCA">
        <w:rPr>
          <w:rFonts w:ascii="Times New Roman" w:hAnsi="Times New Roman" w:cs="Times New Roman"/>
          <w:sz w:val="24"/>
          <w:szCs w:val="24"/>
          <w:lang w:val="en-US"/>
        </w:rPr>
        <w:t xml:space="preserve">those at least 85 in Miles et </w:t>
      </w:r>
      <w:proofErr w:type="spellStart"/>
      <w:r w:rsidR="00882FCA">
        <w:rPr>
          <w:rFonts w:ascii="Times New Roman" w:hAnsi="Times New Roman" w:cs="Times New Roman"/>
          <w:sz w:val="24"/>
          <w:szCs w:val="24"/>
          <w:lang w:val="en-US"/>
        </w:rPr>
        <w:t>al’s</w:t>
      </w:r>
      <w:proofErr w:type="spellEnd"/>
      <w:r w:rsidR="00882FCA">
        <w:rPr>
          <w:rFonts w:ascii="Times New Roman" w:hAnsi="Times New Roman" w:cs="Times New Roman"/>
          <w:sz w:val="24"/>
          <w:szCs w:val="24"/>
          <w:lang w:val="en-US"/>
        </w:rPr>
        <w:t xml:space="preserve"> Table 1</w:t>
      </w:r>
      <w:r w:rsidR="00EF1F6D">
        <w:rPr>
          <w:rFonts w:ascii="Times New Roman" w:hAnsi="Times New Roman" w:cs="Times New Roman"/>
          <w:sz w:val="24"/>
          <w:szCs w:val="24"/>
          <w:lang w:val="en-US"/>
        </w:rPr>
        <w:t xml:space="preserve">.  Alternatively, they could be spread across all 75+ groups in Miles et </w:t>
      </w:r>
      <w:proofErr w:type="spellStart"/>
      <w:r w:rsidR="00EF1F6D">
        <w:rPr>
          <w:rFonts w:ascii="Times New Roman" w:hAnsi="Times New Roman" w:cs="Times New Roman"/>
          <w:sz w:val="24"/>
          <w:szCs w:val="24"/>
          <w:lang w:val="en-US"/>
        </w:rPr>
        <w:t>al’s</w:t>
      </w:r>
      <w:proofErr w:type="spellEnd"/>
      <w:r w:rsidR="00EF1F6D">
        <w:rPr>
          <w:rFonts w:ascii="Times New Roman" w:hAnsi="Times New Roman" w:cs="Times New Roman"/>
          <w:sz w:val="24"/>
          <w:szCs w:val="24"/>
          <w:lang w:val="en-US"/>
        </w:rPr>
        <w:t xml:space="preserve"> Table 1, in proportion to the size of these groups, and would therefore constitute 54% of each such group.  Either way, their life expectancy is set at 1.1 years and all others have their life expectancy reduced by </w:t>
      </w:r>
      <w:r w:rsidR="0007183E">
        <w:rPr>
          <w:rFonts w:ascii="Times New Roman" w:hAnsi="Times New Roman" w:cs="Times New Roman"/>
          <w:sz w:val="24"/>
          <w:szCs w:val="24"/>
          <w:lang w:val="en-US"/>
        </w:rPr>
        <w:t>30%</w:t>
      </w:r>
      <w:r w:rsidR="00EF1F6D">
        <w:rPr>
          <w:rFonts w:ascii="Times New Roman" w:hAnsi="Times New Roman" w:cs="Times New Roman"/>
          <w:sz w:val="24"/>
          <w:szCs w:val="24"/>
          <w:lang w:val="en-US"/>
        </w:rPr>
        <w:t xml:space="preserve">.  The result is an average residual life expectancy of </w:t>
      </w:r>
      <w:r w:rsidR="0007183E">
        <w:rPr>
          <w:rFonts w:ascii="Times New Roman" w:hAnsi="Times New Roman" w:cs="Times New Roman"/>
          <w:sz w:val="24"/>
          <w:szCs w:val="24"/>
          <w:lang w:val="en-US"/>
        </w:rPr>
        <w:t xml:space="preserve">5.7 to 6.3 </w:t>
      </w:r>
      <w:r w:rsidR="00EF1F6D">
        <w:rPr>
          <w:rFonts w:ascii="Times New Roman" w:hAnsi="Times New Roman" w:cs="Times New Roman"/>
          <w:sz w:val="24"/>
          <w:szCs w:val="24"/>
          <w:lang w:val="en-US"/>
        </w:rPr>
        <w:t xml:space="preserve">years.  </w:t>
      </w:r>
    </w:p>
    <w:p w:rsidR="00EF1F6D" w:rsidRDefault="00EF1F6D" w:rsidP="001E4050">
      <w:pPr>
        <w:pStyle w:val="FootnoteText"/>
        <w:spacing w:line="360" w:lineRule="auto"/>
        <w:jc w:val="both"/>
        <w:rPr>
          <w:rFonts w:ascii="Times New Roman" w:hAnsi="Times New Roman" w:cs="Times New Roman"/>
          <w:sz w:val="24"/>
          <w:szCs w:val="24"/>
          <w:lang w:val="en-US"/>
        </w:rPr>
      </w:pPr>
    </w:p>
    <w:p w:rsidR="009C0E72" w:rsidRDefault="0022760E" w:rsidP="001E4050">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summary, the average residual life span of covid-19 vic</w:t>
      </w:r>
      <w:r w:rsidR="00360833">
        <w:rPr>
          <w:rFonts w:ascii="Times New Roman" w:hAnsi="Times New Roman" w:cs="Times New Roman"/>
          <w:sz w:val="24"/>
          <w:szCs w:val="24"/>
          <w:lang w:val="en-US"/>
        </w:rPr>
        <w:t xml:space="preserve">tims in Europe would be about 10 </w:t>
      </w:r>
      <w:r>
        <w:rPr>
          <w:rFonts w:ascii="Times New Roman" w:hAnsi="Times New Roman" w:cs="Times New Roman"/>
          <w:sz w:val="24"/>
          <w:szCs w:val="24"/>
          <w:lang w:val="en-US"/>
        </w:rPr>
        <w:t>years if they were typical of their age</w:t>
      </w:r>
      <w:r w:rsidR="00B00EF7">
        <w:rPr>
          <w:rFonts w:ascii="Times New Roman" w:hAnsi="Times New Roman" w:cs="Times New Roman"/>
          <w:sz w:val="24"/>
          <w:szCs w:val="24"/>
          <w:lang w:val="en-US"/>
        </w:rPr>
        <w:t xml:space="preserve">.  </w:t>
      </w:r>
      <w:proofErr w:type="gramStart"/>
      <w:r w:rsidR="00B00EF7">
        <w:rPr>
          <w:rFonts w:ascii="Times New Roman" w:hAnsi="Times New Roman" w:cs="Times New Roman"/>
          <w:sz w:val="24"/>
          <w:szCs w:val="24"/>
          <w:lang w:val="en-US"/>
        </w:rPr>
        <w:t>However they are not</w:t>
      </w:r>
      <w:r w:rsidR="006069FB">
        <w:rPr>
          <w:rFonts w:ascii="Times New Roman" w:hAnsi="Times New Roman" w:cs="Times New Roman"/>
          <w:sz w:val="24"/>
          <w:szCs w:val="24"/>
          <w:lang w:val="en-US"/>
        </w:rPr>
        <w:t xml:space="preserve"> typical</w:t>
      </w:r>
      <w:r w:rsidR="00B00EF7">
        <w:rPr>
          <w:rFonts w:ascii="Times New Roman" w:hAnsi="Times New Roman" w:cs="Times New Roman"/>
          <w:sz w:val="24"/>
          <w:szCs w:val="24"/>
          <w:lang w:val="en-US"/>
        </w:rPr>
        <w:t>, in that co-</w:t>
      </w:r>
      <w:proofErr w:type="spellStart"/>
      <w:r w:rsidR="00B00EF7">
        <w:rPr>
          <w:rFonts w:ascii="Times New Roman" w:hAnsi="Times New Roman" w:cs="Times New Roman"/>
          <w:sz w:val="24"/>
          <w:szCs w:val="24"/>
          <w:lang w:val="en-US"/>
        </w:rPr>
        <w:t>morbidites</w:t>
      </w:r>
      <w:proofErr w:type="spellEnd"/>
      <w:r w:rsidR="00B00EF7">
        <w:rPr>
          <w:rFonts w:ascii="Times New Roman" w:hAnsi="Times New Roman" w:cs="Times New Roman"/>
          <w:sz w:val="24"/>
          <w:szCs w:val="24"/>
          <w:lang w:val="en-US"/>
        </w:rPr>
        <w:t xml:space="preserve"> </w:t>
      </w:r>
      <w:r w:rsidR="00FA2F1E">
        <w:rPr>
          <w:rFonts w:ascii="Times New Roman" w:hAnsi="Times New Roman" w:cs="Times New Roman"/>
          <w:sz w:val="24"/>
          <w:szCs w:val="24"/>
          <w:lang w:val="en-US"/>
        </w:rPr>
        <w:t xml:space="preserve">were </w:t>
      </w:r>
      <w:r w:rsidR="006069FB">
        <w:rPr>
          <w:rFonts w:ascii="Times New Roman" w:hAnsi="Times New Roman" w:cs="Times New Roman"/>
          <w:sz w:val="24"/>
          <w:szCs w:val="24"/>
          <w:lang w:val="en-US"/>
        </w:rPr>
        <w:t>almost universal and the p</w:t>
      </w:r>
      <w:r w:rsidR="00B00EF7">
        <w:rPr>
          <w:rFonts w:ascii="Times New Roman" w:hAnsi="Times New Roman" w:cs="Times New Roman"/>
          <w:sz w:val="24"/>
          <w:szCs w:val="24"/>
          <w:lang w:val="en-US"/>
        </w:rPr>
        <w:t xml:space="preserve">roportion who </w:t>
      </w:r>
      <w:r w:rsidR="0064573A">
        <w:rPr>
          <w:rFonts w:ascii="Times New Roman" w:hAnsi="Times New Roman" w:cs="Times New Roman"/>
          <w:sz w:val="24"/>
          <w:szCs w:val="24"/>
          <w:lang w:val="en-US"/>
        </w:rPr>
        <w:t xml:space="preserve">were </w:t>
      </w:r>
      <w:r w:rsidR="00B00EF7">
        <w:rPr>
          <w:rFonts w:ascii="Times New Roman" w:hAnsi="Times New Roman" w:cs="Times New Roman"/>
          <w:sz w:val="24"/>
          <w:szCs w:val="24"/>
          <w:lang w:val="en-US"/>
        </w:rPr>
        <w:t>residents of nursing homes</w:t>
      </w:r>
      <w:r w:rsidR="006069FB">
        <w:rPr>
          <w:rFonts w:ascii="Times New Roman" w:hAnsi="Times New Roman" w:cs="Times New Roman"/>
          <w:sz w:val="24"/>
          <w:szCs w:val="24"/>
          <w:lang w:val="en-US"/>
        </w:rPr>
        <w:t xml:space="preserve"> very high</w:t>
      </w:r>
      <w:r w:rsidR="00B00EF7">
        <w:rPr>
          <w:rFonts w:ascii="Times New Roman" w:hAnsi="Times New Roman" w:cs="Times New Roman"/>
          <w:sz w:val="24"/>
          <w:szCs w:val="24"/>
          <w:lang w:val="en-US"/>
        </w:rPr>
        <w:t>.</w:t>
      </w:r>
      <w:proofErr w:type="gramEnd"/>
      <w:r w:rsidR="00B00EF7">
        <w:rPr>
          <w:rFonts w:ascii="Times New Roman" w:hAnsi="Times New Roman" w:cs="Times New Roman"/>
          <w:sz w:val="24"/>
          <w:szCs w:val="24"/>
          <w:lang w:val="en-US"/>
        </w:rPr>
        <w:t xml:space="preserve">  Allowance for both factors </w:t>
      </w:r>
      <w:r>
        <w:rPr>
          <w:rFonts w:ascii="Times New Roman" w:hAnsi="Times New Roman" w:cs="Times New Roman"/>
          <w:sz w:val="24"/>
          <w:szCs w:val="24"/>
          <w:lang w:val="en-US"/>
        </w:rPr>
        <w:t xml:space="preserve">suggests a reduction in average residual life </w:t>
      </w:r>
      <w:r w:rsidR="006D22D1">
        <w:rPr>
          <w:rFonts w:ascii="Times New Roman" w:hAnsi="Times New Roman" w:cs="Times New Roman"/>
          <w:sz w:val="24"/>
          <w:szCs w:val="24"/>
          <w:lang w:val="en-US"/>
        </w:rPr>
        <w:t xml:space="preserve">expectancy </w:t>
      </w:r>
      <w:r w:rsidR="004C1A33">
        <w:rPr>
          <w:rFonts w:ascii="Times New Roman" w:hAnsi="Times New Roman" w:cs="Times New Roman"/>
          <w:sz w:val="24"/>
          <w:szCs w:val="24"/>
          <w:lang w:val="en-US"/>
        </w:rPr>
        <w:t>to about f</w:t>
      </w:r>
      <w:r>
        <w:rPr>
          <w:rFonts w:ascii="Times New Roman" w:hAnsi="Times New Roman" w:cs="Times New Roman"/>
          <w:sz w:val="24"/>
          <w:szCs w:val="24"/>
          <w:lang w:val="en-US"/>
        </w:rPr>
        <w:t>ive years</w:t>
      </w:r>
      <w:r w:rsidR="00472A2E">
        <w:rPr>
          <w:rFonts w:ascii="Times New Roman" w:hAnsi="Times New Roman" w:cs="Times New Roman"/>
          <w:sz w:val="24"/>
          <w:szCs w:val="24"/>
          <w:lang w:val="en-US"/>
        </w:rPr>
        <w:t xml:space="preserve">.  This matches the estimate of </w:t>
      </w:r>
      <w:r>
        <w:rPr>
          <w:rFonts w:ascii="Times New Roman" w:hAnsi="Times New Roman" w:cs="Times New Roman"/>
          <w:sz w:val="24"/>
          <w:szCs w:val="24"/>
          <w:lang w:val="en-US"/>
        </w:rPr>
        <w:t xml:space="preserve">Blakely et al (2020). </w:t>
      </w:r>
    </w:p>
    <w:p w:rsidR="0022760E" w:rsidRDefault="0022760E" w:rsidP="001E4050">
      <w:pPr>
        <w:pStyle w:val="FootnoteText"/>
        <w:spacing w:line="360" w:lineRule="auto"/>
        <w:jc w:val="both"/>
        <w:rPr>
          <w:rFonts w:ascii="Times New Roman" w:hAnsi="Times New Roman" w:cs="Times New Roman"/>
          <w:sz w:val="24"/>
          <w:szCs w:val="24"/>
          <w:lang w:val="en-US"/>
        </w:rPr>
      </w:pPr>
    </w:p>
    <w:p w:rsidR="001E4050" w:rsidRPr="001E4050" w:rsidRDefault="009C0E72" w:rsidP="001E4050">
      <w:pPr>
        <w:pStyle w:val="FootnoteText"/>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respect of a discount to </w:t>
      </w:r>
      <w:r w:rsidR="001A1B0F">
        <w:rPr>
          <w:rFonts w:ascii="Times New Roman" w:hAnsi="Times New Roman" w:cs="Times New Roman"/>
          <w:sz w:val="24"/>
          <w:szCs w:val="24"/>
          <w:lang w:val="en-US"/>
        </w:rPr>
        <w:t xml:space="preserve">reflect the imperfect health of </w:t>
      </w:r>
      <w:r w:rsidR="00C114AD">
        <w:rPr>
          <w:rFonts w:ascii="Times New Roman" w:hAnsi="Times New Roman" w:cs="Times New Roman"/>
          <w:sz w:val="24"/>
          <w:szCs w:val="24"/>
          <w:lang w:val="en-US"/>
        </w:rPr>
        <w:t xml:space="preserve">virtually all of </w:t>
      </w:r>
      <w:r w:rsidR="001A1B0F">
        <w:rPr>
          <w:rFonts w:ascii="Times New Roman" w:hAnsi="Times New Roman" w:cs="Times New Roman"/>
          <w:sz w:val="24"/>
          <w:szCs w:val="24"/>
          <w:lang w:val="en-US"/>
        </w:rPr>
        <w:t>these victims sans Covid-19</w:t>
      </w:r>
      <w:r w:rsidR="003A72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Miles et al (2020, page 69) use 20% </w:t>
      </w:r>
      <w:r w:rsidR="003A7292">
        <w:rPr>
          <w:rFonts w:ascii="Times New Roman" w:hAnsi="Times New Roman" w:cs="Times New Roman"/>
          <w:sz w:val="24"/>
          <w:szCs w:val="24"/>
          <w:lang w:val="en-US"/>
        </w:rPr>
        <w:t xml:space="preserve">based on </w:t>
      </w:r>
      <w:r w:rsidR="00A7555B">
        <w:rPr>
          <w:rFonts w:ascii="Times New Roman" w:hAnsi="Times New Roman" w:cs="Times New Roman"/>
          <w:sz w:val="24"/>
          <w:szCs w:val="24"/>
          <w:lang w:val="en-US"/>
        </w:rPr>
        <w:t xml:space="preserve">prevailing </w:t>
      </w:r>
      <w:r w:rsidR="003A7292">
        <w:rPr>
          <w:rFonts w:ascii="Times New Roman" w:hAnsi="Times New Roman" w:cs="Times New Roman"/>
          <w:sz w:val="24"/>
          <w:szCs w:val="24"/>
          <w:lang w:val="en-US"/>
        </w:rPr>
        <w:t xml:space="preserve">discounts for </w:t>
      </w:r>
      <w:r w:rsidR="00CB3829">
        <w:rPr>
          <w:rFonts w:ascii="Times New Roman" w:hAnsi="Times New Roman" w:cs="Times New Roman"/>
          <w:sz w:val="24"/>
          <w:szCs w:val="24"/>
          <w:lang w:val="en-US"/>
        </w:rPr>
        <w:t>type 2 diabetes</w:t>
      </w:r>
      <w:r w:rsidR="002E5A66">
        <w:rPr>
          <w:rFonts w:ascii="Times New Roman" w:hAnsi="Times New Roman" w:cs="Times New Roman"/>
          <w:sz w:val="24"/>
          <w:szCs w:val="24"/>
          <w:lang w:val="en-US"/>
        </w:rPr>
        <w:t xml:space="preserve"> with and</w:t>
      </w:r>
      <w:r w:rsidR="00CB3829">
        <w:rPr>
          <w:rFonts w:ascii="Times New Roman" w:hAnsi="Times New Roman" w:cs="Times New Roman"/>
          <w:sz w:val="24"/>
          <w:szCs w:val="24"/>
          <w:lang w:val="en-US"/>
        </w:rPr>
        <w:t xml:space="preserve"> without additional problems</w:t>
      </w:r>
      <w:r w:rsidR="001A1B0F">
        <w:rPr>
          <w:rFonts w:ascii="Times New Roman" w:hAnsi="Times New Roman" w:cs="Times New Roman"/>
          <w:sz w:val="24"/>
          <w:szCs w:val="24"/>
          <w:lang w:val="en-US"/>
        </w:rPr>
        <w:t xml:space="preserve">.  </w:t>
      </w:r>
      <w:r w:rsidR="00F22ED8">
        <w:rPr>
          <w:rFonts w:ascii="Times New Roman" w:hAnsi="Times New Roman" w:cs="Times New Roman"/>
          <w:sz w:val="24"/>
          <w:szCs w:val="24"/>
          <w:lang w:val="en-US"/>
        </w:rPr>
        <w:t xml:space="preserve">In particular, they cite </w:t>
      </w:r>
      <w:proofErr w:type="spellStart"/>
      <w:r w:rsidR="00F22ED8">
        <w:rPr>
          <w:rFonts w:ascii="Times New Roman" w:hAnsi="Times New Roman" w:cs="Times New Roman"/>
          <w:sz w:val="24"/>
          <w:szCs w:val="24"/>
          <w:lang w:val="en-US"/>
        </w:rPr>
        <w:t>B</w:t>
      </w:r>
      <w:r>
        <w:rPr>
          <w:rFonts w:ascii="Times New Roman" w:hAnsi="Times New Roman" w:cs="Times New Roman"/>
          <w:sz w:val="24"/>
          <w:szCs w:val="24"/>
          <w:lang w:val="en-US"/>
        </w:rPr>
        <w:t>eaudet</w:t>
      </w:r>
      <w:proofErr w:type="spellEnd"/>
      <w:r>
        <w:rPr>
          <w:rFonts w:ascii="Times New Roman" w:hAnsi="Times New Roman" w:cs="Times New Roman"/>
          <w:sz w:val="24"/>
          <w:szCs w:val="24"/>
          <w:lang w:val="en-US"/>
        </w:rPr>
        <w:t xml:space="preserve"> et al </w:t>
      </w:r>
      <w:r w:rsidR="00F22ED8">
        <w:rPr>
          <w:rFonts w:ascii="Times New Roman" w:hAnsi="Times New Roman" w:cs="Times New Roman"/>
          <w:sz w:val="24"/>
          <w:szCs w:val="24"/>
          <w:lang w:val="en-US"/>
        </w:rPr>
        <w:t>(2014, Table 3)</w:t>
      </w:r>
      <w:r>
        <w:rPr>
          <w:rFonts w:ascii="Times New Roman" w:hAnsi="Times New Roman" w:cs="Times New Roman"/>
          <w:sz w:val="24"/>
          <w:szCs w:val="24"/>
          <w:lang w:val="en-US"/>
        </w:rPr>
        <w:t xml:space="preserve">, </w:t>
      </w:r>
      <w:r w:rsidR="00F22ED8">
        <w:rPr>
          <w:rFonts w:ascii="Times New Roman" w:hAnsi="Times New Roman" w:cs="Times New Roman"/>
          <w:sz w:val="24"/>
          <w:szCs w:val="24"/>
          <w:lang w:val="en-US"/>
        </w:rPr>
        <w:t>who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favour</w:t>
      </w:r>
      <w:proofErr w:type="spellEnd"/>
      <w:r>
        <w:rPr>
          <w:rFonts w:ascii="Times New Roman" w:hAnsi="Times New Roman" w:cs="Times New Roman"/>
          <w:sz w:val="24"/>
          <w:szCs w:val="24"/>
          <w:lang w:val="en-US"/>
        </w:rPr>
        <w:t xml:space="preserve"> a quality of life discount of 21% for Type 2 diabetes without complications, and substantial additional discounts for further problems including 9% for heart disease and 16% for stroke.  These discounts in </w:t>
      </w:r>
      <w:proofErr w:type="spellStart"/>
      <w:r>
        <w:rPr>
          <w:rFonts w:ascii="Times New Roman" w:hAnsi="Times New Roman" w:cs="Times New Roman"/>
          <w:sz w:val="24"/>
          <w:szCs w:val="24"/>
          <w:lang w:val="en-US"/>
        </w:rPr>
        <w:t>Beaudet</w:t>
      </w:r>
      <w:proofErr w:type="spellEnd"/>
      <w:r>
        <w:rPr>
          <w:rFonts w:ascii="Times New Roman" w:hAnsi="Times New Roman" w:cs="Times New Roman"/>
          <w:sz w:val="24"/>
          <w:szCs w:val="24"/>
          <w:lang w:val="en-US"/>
        </w:rPr>
        <w:t xml:space="preserve"> et al suggest that Miles et </w:t>
      </w:r>
      <w:proofErr w:type="spellStart"/>
      <w:r>
        <w:rPr>
          <w:rFonts w:ascii="Times New Roman" w:hAnsi="Times New Roman" w:cs="Times New Roman"/>
          <w:sz w:val="24"/>
          <w:szCs w:val="24"/>
          <w:lang w:val="en-US"/>
        </w:rPr>
        <w:t>al’s</w:t>
      </w:r>
      <w:proofErr w:type="spellEnd"/>
      <w:r>
        <w:rPr>
          <w:rFonts w:ascii="Times New Roman" w:hAnsi="Times New Roman" w:cs="Times New Roman"/>
          <w:sz w:val="24"/>
          <w:szCs w:val="24"/>
          <w:lang w:val="en-US"/>
        </w:rPr>
        <w:t xml:space="preserve"> 20% discount for an average covid-19 vi</w:t>
      </w:r>
      <w:r w:rsidR="006069FB">
        <w:rPr>
          <w:rFonts w:ascii="Times New Roman" w:hAnsi="Times New Roman" w:cs="Times New Roman"/>
          <w:sz w:val="24"/>
          <w:szCs w:val="24"/>
          <w:lang w:val="en-US"/>
        </w:rPr>
        <w:t>ctim is low.  Furthermore, a large proportion of the victims were residents of nursing homes</w:t>
      </w:r>
      <w:r w:rsidR="007A3550">
        <w:rPr>
          <w:rFonts w:ascii="Times New Roman" w:hAnsi="Times New Roman" w:cs="Times New Roman"/>
          <w:sz w:val="24"/>
          <w:szCs w:val="24"/>
          <w:lang w:val="en-US"/>
        </w:rPr>
        <w:t>, for which the quality of life discount could reasonably be even higher.</w:t>
      </w:r>
    </w:p>
    <w:p w:rsidR="001E4050" w:rsidRPr="001E4050" w:rsidRDefault="001E4050" w:rsidP="001E4050">
      <w:pPr>
        <w:spacing w:after="0" w:line="360" w:lineRule="auto"/>
        <w:jc w:val="both"/>
        <w:rPr>
          <w:rFonts w:ascii="Times New Roman" w:hAnsi="Times New Roman" w:cs="Times New Roman"/>
          <w:sz w:val="24"/>
          <w:szCs w:val="24"/>
          <w:lang w:val="en-US"/>
        </w:rPr>
      </w:pPr>
    </w:p>
    <w:p w:rsidR="00D60435" w:rsidRDefault="00D74716" w:rsidP="000B7E7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conclusion, the </w:t>
      </w:r>
      <w:r w:rsidR="0082452E">
        <w:rPr>
          <w:rFonts w:ascii="Times New Roman" w:hAnsi="Times New Roman" w:cs="Times New Roman"/>
          <w:sz w:val="24"/>
          <w:szCs w:val="24"/>
          <w:lang w:val="en-US"/>
        </w:rPr>
        <w:t xml:space="preserve">QALYs saved by </w:t>
      </w:r>
      <w:r w:rsidR="00A83CCC">
        <w:rPr>
          <w:rFonts w:ascii="Times New Roman" w:hAnsi="Times New Roman" w:cs="Times New Roman"/>
          <w:sz w:val="24"/>
          <w:szCs w:val="24"/>
          <w:lang w:val="en-US"/>
        </w:rPr>
        <w:t xml:space="preserve">the </w:t>
      </w:r>
      <w:r w:rsidR="00EC5300">
        <w:rPr>
          <w:rFonts w:ascii="Times New Roman" w:hAnsi="Times New Roman" w:cs="Times New Roman"/>
          <w:sz w:val="24"/>
          <w:szCs w:val="24"/>
          <w:lang w:val="en-US"/>
        </w:rPr>
        <w:t xml:space="preserve">New Zealand </w:t>
      </w:r>
      <w:r w:rsidR="00A83CCC">
        <w:rPr>
          <w:rFonts w:ascii="Times New Roman" w:hAnsi="Times New Roman" w:cs="Times New Roman"/>
          <w:sz w:val="24"/>
          <w:szCs w:val="24"/>
          <w:lang w:val="en-US"/>
        </w:rPr>
        <w:t xml:space="preserve">government pursuing lockdown </w:t>
      </w:r>
      <w:r w:rsidR="00EC5300">
        <w:rPr>
          <w:rFonts w:ascii="Times New Roman" w:hAnsi="Times New Roman" w:cs="Times New Roman"/>
          <w:sz w:val="24"/>
          <w:szCs w:val="24"/>
          <w:lang w:val="en-US"/>
        </w:rPr>
        <w:t xml:space="preserve">rather than mitigation </w:t>
      </w:r>
      <w:r w:rsidR="0082452E">
        <w:rPr>
          <w:rFonts w:ascii="Times New Roman" w:hAnsi="Times New Roman" w:cs="Times New Roman"/>
          <w:sz w:val="24"/>
          <w:szCs w:val="24"/>
          <w:lang w:val="en-US"/>
        </w:rPr>
        <w:t xml:space="preserve">would then be </w:t>
      </w:r>
      <w:r w:rsidR="00EC5300">
        <w:rPr>
          <w:rFonts w:ascii="Times New Roman" w:hAnsi="Times New Roman" w:cs="Times New Roman"/>
          <w:sz w:val="24"/>
          <w:szCs w:val="24"/>
          <w:lang w:val="en-US"/>
        </w:rPr>
        <w:t xml:space="preserve">up </w:t>
      </w:r>
      <w:r w:rsidR="00B506C0">
        <w:rPr>
          <w:rFonts w:ascii="Times New Roman" w:hAnsi="Times New Roman" w:cs="Times New Roman"/>
          <w:sz w:val="24"/>
          <w:szCs w:val="24"/>
          <w:lang w:val="en-US"/>
        </w:rPr>
        <w:t>to 1,56</w:t>
      </w:r>
      <w:r w:rsidR="00EC5300">
        <w:rPr>
          <w:rFonts w:ascii="Times New Roman" w:hAnsi="Times New Roman" w:cs="Times New Roman"/>
          <w:sz w:val="24"/>
          <w:szCs w:val="24"/>
          <w:lang w:val="en-US"/>
        </w:rPr>
        <w:t>0</w:t>
      </w:r>
      <w:r w:rsidR="000718D5" w:rsidRPr="000718D5">
        <w:rPr>
          <w:rFonts w:ascii="Times New Roman" w:hAnsi="Times New Roman" w:cs="Times New Roman"/>
          <w:i/>
          <w:sz w:val="24"/>
          <w:szCs w:val="24"/>
          <w:lang w:val="en-US"/>
        </w:rPr>
        <w:t>N</w:t>
      </w:r>
      <w:r w:rsidR="00EC4C5E">
        <w:rPr>
          <w:rFonts w:ascii="Times New Roman" w:hAnsi="Times New Roman" w:cs="Times New Roman"/>
          <w:sz w:val="24"/>
          <w:szCs w:val="24"/>
          <w:lang w:val="en-US"/>
        </w:rPr>
        <w:t>*5</w:t>
      </w:r>
      <w:r w:rsidR="000718D5">
        <w:rPr>
          <w:rFonts w:ascii="Times New Roman" w:hAnsi="Times New Roman" w:cs="Times New Roman"/>
          <w:sz w:val="24"/>
          <w:szCs w:val="24"/>
          <w:lang w:val="en-US"/>
        </w:rPr>
        <w:t>*0.8</w:t>
      </w:r>
      <w:r w:rsidR="00576077">
        <w:rPr>
          <w:rFonts w:ascii="Times New Roman" w:hAnsi="Times New Roman" w:cs="Times New Roman"/>
          <w:sz w:val="24"/>
          <w:szCs w:val="24"/>
          <w:lang w:val="en-US"/>
        </w:rPr>
        <w:t xml:space="preserve"> = 6,240</w:t>
      </w:r>
      <w:r w:rsidR="00576077" w:rsidRPr="00576077">
        <w:rPr>
          <w:rFonts w:ascii="Times New Roman" w:hAnsi="Times New Roman" w:cs="Times New Roman"/>
          <w:i/>
          <w:sz w:val="24"/>
          <w:szCs w:val="24"/>
          <w:lang w:val="en-US"/>
        </w:rPr>
        <w:t>N</w:t>
      </w:r>
      <w:r w:rsidR="00576077">
        <w:rPr>
          <w:rFonts w:ascii="Times New Roman" w:hAnsi="Times New Roman" w:cs="Times New Roman"/>
          <w:sz w:val="24"/>
          <w:szCs w:val="24"/>
          <w:lang w:val="en-US"/>
        </w:rPr>
        <w:t>.</w:t>
      </w:r>
      <w:r w:rsidR="00EC19FF">
        <w:rPr>
          <w:rFonts w:ascii="Times New Roman" w:hAnsi="Times New Roman" w:cs="Times New Roman"/>
          <w:sz w:val="24"/>
          <w:szCs w:val="24"/>
          <w:lang w:val="en-US"/>
        </w:rPr>
        <w:t xml:space="preserve"> </w:t>
      </w:r>
    </w:p>
    <w:p w:rsidR="00B41A5B" w:rsidRDefault="00B41A5B" w:rsidP="000B7E7F">
      <w:pPr>
        <w:spacing w:after="0" w:line="360" w:lineRule="auto"/>
        <w:jc w:val="both"/>
        <w:rPr>
          <w:rFonts w:ascii="Times New Roman" w:hAnsi="Times New Roman" w:cs="Times New Roman"/>
          <w:sz w:val="24"/>
          <w:szCs w:val="24"/>
          <w:lang w:val="en-US"/>
        </w:rPr>
      </w:pPr>
    </w:p>
    <w:p w:rsidR="00D144F1" w:rsidRPr="00D144F1" w:rsidRDefault="00DF71D1" w:rsidP="000B7E7F">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3.3</w:t>
      </w:r>
      <w:r w:rsidR="00D144F1">
        <w:rPr>
          <w:rFonts w:ascii="Times New Roman" w:hAnsi="Times New Roman" w:cs="Times New Roman"/>
          <w:i/>
          <w:sz w:val="24"/>
          <w:szCs w:val="24"/>
          <w:lang w:val="en-US"/>
        </w:rPr>
        <w:t xml:space="preserve"> GDP Losses</w:t>
      </w:r>
    </w:p>
    <w:p w:rsidR="00D60435" w:rsidRDefault="00991EB7" w:rsidP="00D6043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Turning now to the </w:t>
      </w:r>
      <w:r w:rsidR="007018BB">
        <w:rPr>
          <w:rFonts w:ascii="Times New Roman" w:hAnsi="Times New Roman" w:cs="Times New Roman"/>
          <w:sz w:val="24"/>
          <w:szCs w:val="24"/>
          <w:lang w:val="en-US"/>
        </w:rPr>
        <w:t xml:space="preserve">GDP losses, since March 2020, The Treasury </w:t>
      </w:r>
      <w:r w:rsidR="0016087D">
        <w:rPr>
          <w:rFonts w:ascii="Times New Roman" w:hAnsi="Times New Roman" w:cs="Times New Roman"/>
          <w:sz w:val="24"/>
          <w:szCs w:val="24"/>
          <w:lang w:val="en-US"/>
        </w:rPr>
        <w:t xml:space="preserve">has produced two updates to its GDP forecasts.  In May, The Treasury </w:t>
      </w:r>
      <w:r w:rsidR="00EF0ED7">
        <w:rPr>
          <w:rFonts w:ascii="Times New Roman" w:hAnsi="Times New Roman" w:cs="Times New Roman"/>
          <w:sz w:val="24"/>
          <w:szCs w:val="24"/>
          <w:lang w:val="en-US"/>
        </w:rPr>
        <w:t>(2020b, page 3) revised its December 2019 forecast</w:t>
      </w:r>
      <w:r w:rsidR="00EE777A">
        <w:rPr>
          <w:rFonts w:ascii="Times New Roman" w:hAnsi="Times New Roman" w:cs="Times New Roman"/>
          <w:sz w:val="24"/>
          <w:szCs w:val="24"/>
          <w:lang w:val="en-US"/>
        </w:rPr>
        <w:t>s and these are shown in Table 5</w:t>
      </w:r>
      <w:r w:rsidR="00F060E7">
        <w:rPr>
          <w:rFonts w:ascii="Times New Roman" w:hAnsi="Times New Roman" w:cs="Times New Roman"/>
          <w:sz w:val="24"/>
          <w:szCs w:val="24"/>
          <w:lang w:val="en-US"/>
        </w:rPr>
        <w:t xml:space="preserve"> (along with The Treasury’s December 2019 forecasts)</w:t>
      </w:r>
      <w:r w:rsidR="00EF0ED7">
        <w:rPr>
          <w:rFonts w:ascii="Times New Roman" w:hAnsi="Times New Roman" w:cs="Times New Roman"/>
          <w:sz w:val="24"/>
          <w:szCs w:val="24"/>
          <w:lang w:val="en-US"/>
        </w:rPr>
        <w:t xml:space="preserve">.  These </w:t>
      </w:r>
      <w:r w:rsidR="00F060E7">
        <w:rPr>
          <w:rFonts w:ascii="Times New Roman" w:hAnsi="Times New Roman" w:cs="Times New Roman"/>
          <w:sz w:val="24"/>
          <w:szCs w:val="24"/>
          <w:lang w:val="en-US"/>
        </w:rPr>
        <w:t xml:space="preserve">May </w:t>
      </w:r>
      <w:r w:rsidR="00EF0ED7">
        <w:rPr>
          <w:rFonts w:ascii="Times New Roman" w:hAnsi="Times New Roman" w:cs="Times New Roman"/>
          <w:sz w:val="24"/>
          <w:szCs w:val="24"/>
          <w:lang w:val="en-US"/>
        </w:rPr>
        <w:t xml:space="preserve">forecasts are in aggregate very similar to </w:t>
      </w:r>
      <w:r w:rsidR="00417986">
        <w:rPr>
          <w:rFonts w:ascii="Times New Roman" w:hAnsi="Times New Roman" w:cs="Times New Roman"/>
          <w:sz w:val="24"/>
          <w:szCs w:val="24"/>
          <w:lang w:val="en-US"/>
        </w:rPr>
        <w:t xml:space="preserve">The Treasury’s </w:t>
      </w:r>
      <w:r w:rsidR="00EF0ED7">
        <w:rPr>
          <w:rFonts w:ascii="Times New Roman" w:hAnsi="Times New Roman" w:cs="Times New Roman"/>
          <w:sz w:val="24"/>
          <w:szCs w:val="24"/>
          <w:lang w:val="en-US"/>
        </w:rPr>
        <w:t xml:space="preserve">S1 forecasts shown in Table 1, which were at that time The Treasury’s </w:t>
      </w:r>
      <w:r w:rsidR="00BE3FBA">
        <w:rPr>
          <w:rFonts w:ascii="Times New Roman" w:hAnsi="Times New Roman" w:cs="Times New Roman"/>
          <w:sz w:val="24"/>
          <w:szCs w:val="24"/>
          <w:lang w:val="en-US"/>
        </w:rPr>
        <w:t xml:space="preserve">least severe </w:t>
      </w:r>
      <w:r w:rsidR="00EF0ED7">
        <w:rPr>
          <w:rFonts w:ascii="Times New Roman" w:hAnsi="Times New Roman" w:cs="Times New Roman"/>
          <w:sz w:val="24"/>
          <w:szCs w:val="24"/>
          <w:lang w:val="en-US"/>
        </w:rPr>
        <w:t xml:space="preserve">scenario.  Thus, </w:t>
      </w:r>
      <w:r w:rsidR="0016087D">
        <w:rPr>
          <w:rFonts w:ascii="Times New Roman" w:hAnsi="Times New Roman" w:cs="Times New Roman"/>
          <w:sz w:val="24"/>
          <w:szCs w:val="24"/>
          <w:lang w:val="en-US"/>
        </w:rPr>
        <w:t xml:space="preserve">in May, The Treasury essentially </w:t>
      </w:r>
      <w:r w:rsidR="00471800">
        <w:rPr>
          <w:rFonts w:ascii="Times New Roman" w:hAnsi="Times New Roman" w:cs="Times New Roman"/>
          <w:sz w:val="24"/>
          <w:szCs w:val="24"/>
          <w:lang w:val="en-US"/>
        </w:rPr>
        <w:t xml:space="preserve">reached the view </w:t>
      </w:r>
      <w:r w:rsidR="0016087D">
        <w:rPr>
          <w:rFonts w:ascii="Times New Roman" w:hAnsi="Times New Roman" w:cs="Times New Roman"/>
          <w:sz w:val="24"/>
          <w:szCs w:val="24"/>
          <w:lang w:val="en-US"/>
        </w:rPr>
        <w:t xml:space="preserve">that its S1 scenario was then the best forecast, implying a GDP loss from the pandemic of $87b, of which the loss due to </w:t>
      </w:r>
      <w:r w:rsidR="009338D6">
        <w:rPr>
          <w:rFonts w:ascii="Times New Roman" w:hAnsi="Times New Roman" w:cs="Times New Roman"/>
          <w:sz w:val="24"/>
          <w:szCs w:val="24"/>
          <w:lang w:val="en-US"/>
        </w:rPr>
        <w:t>lockdown</w:t>
      </w:r>
      <w:r w:rsidR="00BE3FBA">
        <w:rPr>
          <w:rFonts w:ascii="Times New Roman" w:hAnsi="Times New Roman" w:cs="Times New Roman"/>
          <w:sz w:val="24"/>
          <w:szCs w:val="24"/>
          <w:lang w:val="en-US"/>
        </w:rPr>
        <w:t xml:space="preserve"> over mitigation </w:t>
      </w:r>
      <w:r w:rsidR="0016087D">
        <w:rPr>
          <w:rFonts w:ascii="Times New Roman" w:hAnsi="Times New Roman" w:cs="Times New Roman"/>
          <w:sz w:val="24"/>
          <w:szCs w:val="24"/>
          <w:lang w:val="en-US"/>
        </w:rPr>
        <w:t xml:space="preserve">was 8.8% of GDP or $27b. </w:t>
      </w:r>
      <w:r w:rsidR="00471800">
        <w:rPr>
          <w:rFonts w:ascii="Times New Roman" w:hAnsi="Times New Roman" w:cs="Times New Roman"/>
          <w:sz w:val="24"/>
          <w:szCs w:val="24"/>
          <w:lang w:val="en-US"/>
        </w:rPr>
        <w:t xml:space="preserve"> </w:t>
      </w:r>
      <w:r w:rsidR="0016087D">
        <w:rPr>
          <w:rFonts w:ascii="Times New Roman" w:hAnsi="Times New Roman" w:cs="Times New Roman"/>
          <w:sz w:val="24"/>
          <w:szCs w:val="24"/>
          <w:lang w:val="en-US"/>
        </w:rPr>
        <w:t>This</w:t>
      </w:r>
      <w:r w:rsidR="007D396C">
        <w:rPr>
          <w:rFonts w:ascii="Times New Roman" w:hAnsi="Times New Roman" w:cs="Times New Roman"/>
          <w:sz w:val="24"/>
          <w:szCs w:val="24"/>
          <w:lang w:val="en-US"/>
        </w:rPr>
        <w:t xml:space="preserve"> represents </w:t>
      </w:r>
      <w:r w:rsidR="00FF798C">
        <w:rPr>
          <w:rFonts w:ascii="Times New Roman" w:hAnsi="Times New Roman" w:cs="Times New Roman"/>
          <w:sz w:val="24"/>
          <w:szCs w:val="24"/>
          <w:lang w:val="en-US"/>
        </w:rPr>
        <w:t>31</w:t>
      </w:r>
      <w:r w:rsidR="00D85D95">
        <w:rPr>
          <w:rFonts w:ascii="Times New Roman" w:hAnsi="Times New Roman" w:cs="Times New Roman"/>
          <w:sz w:val="24"/>
          <w:szCs w:val="24"/>
          <w:lang w:val="en-US"/>
        </w:rPr>
        <w:t xml:space="preserve">% </w:t>
      </w:r>
      <w:r w:rsidR="007D396C">
        <w:rPr>
          <w:rFonts w:ascii="Times New Roman" w:hAnsi="Times New Roman" w:cs="Times New Roman"/>
          <w:sz w:val="24"/>
          <w:szCs w:val="24"/>
          <w:lang w:val="en-US"/>
        </w:rPr>
        <w:t>of the total expected GDP loss of $87b under S1.</w:t>
      </w:r>
      <w:r w:rsidR="0016087D">
        <w:rPr>
          <w:rFonts w:ascii="Times New Roman" w:hAnsi="Times New Roman" w:cs="Times New Roman"/>
          <w:sz w:val="24"/>
          <w:szCs w:val="24"/>
          <w:lang w:val="en-US"/>
        </w:rPr>
        <w:t xml:space="preserve">  In September, The Treasury (2020</w:t>
      </w:r>
      <w:r w:rsidR="00A71A32">
        <w:rPr>
          <w:rFonts w:ascii="Times New Roman" w:hAnsi="Times New Roman" w:cs="Times New Roman"/>
          <w:sz w:val="24"/>
          <w:szCs w:val="24"/>
          <w:lang w:val="en-US"/>
        </w:rPr>
        <w:t>c, page 82</w:t>
      </w:r>
      <w:r w:rsidR="0016087D">
        <w:rPr>
          <w:rFonts w:ascii="Times New Roman" w:hAnsi="Times New Roman" w:cs="Times New Roman"/>
          <w:sz w:val="24"/>
          <w:szCs w:val="24"/>
          <w:lang w:val="en-US"/>
        </w:rPr>
        <w:t>) further revised i</w:t>
      </w:r>
      <w:r w:rsidR="00EA4CC4">
        <w:rPr>
          <w:rFonts w:ascii="Times New Roman" w:hAnsi="Times New Roman" w:cs="Times New Roman"/>
          <w:sz w:val="24"/>
          <w:szCs w:val="24"/>
          <w:lang w:val="en-US"/>
        </w:rPr>
        <w:t>ts forecasts as shown in Table 5</w:t>
      </w:r>
      <w:r w:rsidR="0016087D">
        <w:rPr>
          <w:rFonts w:ascii="Times New Roman" w:hAnsi="Times New Roman" w:cs="Times New Roman"/>
          <w:sz w:val="24"/>
          <w:szCs w:val="24"/>
          <w:lang w:val="en-US"/>
        </w:rPr>
        <w:t xml:space="preserve">.  For the years 2020-2024, the aggregate GDP shortfall from the pandemic is now </w:t>
      </w:r>
      <w:r w:rsidR="00D37830">
        <w:rPr>
          <w:rFonts w:ascii="Times New Roman" w:hAnsi="Times New Roman" w:cs="Times New Roman"/>
          <w:sz w:val="24"/>
          <w:szCs w:val="24"/>
          <w:lang w:val="en-US"/>
        </w:rPr>
        <w:t xml:space="preserve">539.1 – 505 = 34.1, which is 34.1% of 2019 GDP.  This is larger than the shortfall estimated in May 2020.  </w:t>
      </w:r>
      <w:r w:rsidR="00471800">
        <w:rPr>
          <w:rFonts w:ascii="Times New Roman" w:hAnsi="Times New Roman" w:cs="Times New Roman"/>
          <w:sz w:val="24"/>
          <w:szCs w:val="24"/>
          <w:lang w:val="en-US"/>
        </w:rPr>
        <w:t xml:space="preserve">Furthermore </w:t>
      </w:r>
      <w:r w:rsidR="00FD0BDE">
        <w:rPr>
          <w:rFonts w:ascii="Times New Roman" w:hAnsi="Times New Roman" w:cs="Times New Roman"/>
          <w:sz w:val="24"/>
          <w:szCs w:val="24"/>
          <w:lang w:val="en-US"/>
        </w:rPr>
        <w:t xml:space="preserve">this is not the </w:t>
      </w:r>
      <w:r w:rsidR="00285333">
        <w:rPr>
          <w:rFonts w:ascii="Times New Roman" w:hAnsi="Times New Roman" w:cs="Times New Roman"/>
          <w:sz w:val="24"/>
          <w:szCs w:val="24"/>
          <w:lang w:val="en-US"/>
        </w:rPr>
        <w:t xml:space="preserve">full extent of the </w:t>
      </w:r>
      <w:r w:rsidR="00471800">
        <w:rPr>
          <w:rFonts w:ascii="Times New Roman" w:hAnsi="Times New Roman" w:cs="Times New Roman"/>
          <w:sz w:val="24"/>
          <w:szCs w:val="24"/>
          <w:lang w:val="en-US"/>
        </w:rPr>
        <w:t>shortfall</w:t>
      </w:r>
      <w:r w:rsidR="00FD0BDE">
        <w:rPr>
          <w:rFonts w:ascii="Times New Roman" w:hAnsi="Times New Roman" w:cs="Times New Roman"/>
          <w:sz w:val="24"/>
          <w:szCs w:val="24"/>
          <w:lang w:val="en-US"/>
        </w:rPr>
        <w:t xml:space="preserve">; this is the accumulation of the annual GDP shortfalls for the September 2020 forecasts relative to the December 2019 forecasts until the annual GDP under the former reaches the latter and this is not even close to equality in 2024 with the </w:t>
      </w:r>
      <w:r w:rsidR="0016087D">
        <w:rPr>
          <w:rFonts w:ascii="Times New Roman" w:hAnsi="Times New Roman" w:cs="Times New Roman"/>
          <w:sz w:val="24"/>
          <w:szCs w:val="24"/>
          <w:lang w:val="en-US"/>
        </w:rPr>
        <w:t xml:space="preserve">implied 2024 GDP </w:t>
      </w:r>
      <w:r w:rsidR="00471800">
        <w:rPr>
          <w:rFonts w:ascii="Times New Roman" w:hAnsi="Times New Roman" w:cs="Times New Roman"/>
          <w:sz w:val="24"/>
          <w:szCs w:val="24"/>
          <w:lang w:val="en-US"/>
        </w:rPr>
        <w:t xml:space="preserve">from these </w:t>
      </w:r>
      <w:r w:rsidR="00FD0BDE">
        <w:rPr>
          <w:rFonts w:ascii="Times New Roman" w:hAnsi="Times New Roman" w:cs="Times New Roman"/>
          <w:sz w:val="24"/>
          <w:szCs w:val="24"/>
          <w:lang w:val="en-US"/>
        </w:rPr>
        <w:t xml:space="preserve">September 2020 and December 2019 </w:t>
      </w:r>
      <w:r w:rsidR="00471800">
        <w:rPr>
          <w:rFonts w:ascii="Times New Roman" w:hAnsi="Times New Roman" w:cs="Times New Roman"/>
          <w:sz w:val="24"/>
          <w:szCs w:val="24"/>
          <w:lang w:val="en-US"/>
        </w:rPr>
        <w:t xml:space="preserve">forecasts </w:t>
      </w:r>
      <w:r w:rsidR="00FD0BDE">
        <w:rPr>
          <w:rFonts w:ascii="Times New Roman" w:hAnsi="Times New Roman" w:cs="Times New Roman"/>
          <w:sz w:val="24"/>
          <w:szCs w:val="24"/>
          <w:lang w:val="en-US"/>
        </w:rPr>
        <w:t xml:space="preserve">of </w:t>
      </w:r>
      <w:r w:rsidR="00471800">
        <w:rPr>
          <w:rFonts w:ascii="Times New Roman" w:hAnsi="Times New Roman" w:cs="Times New Roman"/>
          <w:sz w:val="24"/>
          <w:szCs w:val="24"/>
          <w:lang w:val="en-US"/>
        </w:rPr>
        <w:t>108.0</w:t>
      </w:r>
      <w:r w:rsidR="00FD0BDE">
        <w:rPr>
          <w:rFonts w:ascii="Times New Roman" w:hAnsi="Times New Roman" w:cs="Times New Roman"/>
          <w:sz w:val="24"/>
          <w:szCs w:val="24"/>
          <w:lang w:val="en-US"/>
        </w:rPr>
        <w:t xml:space="preserve"> </w:t>
      </w:r>
      <w:r w:rsidR="00EA4CC4">
        <w:rPr>
          <w:rFonts w:ascii="Times New Roman" w:hAnsi="Times New Roman" w:cs="Times New Roman"/>
          <w:sz w:val="24"/>
          <w:szCs w:val="24"/>
          <w:lang w:val="en-US"/>
        </w:rPr>
        <w:t>and 113.3 respectively.  Table 5</w:t>
      </w:r>
      <w:r w:rsidR="00FD0BDE">
        <w:rPr>
          <w:rFonts w:ascii="Times New Roman" w:hAnsi="Times New Roman" w:cs="Times New Roman"/>
          <w:sz w:val="24"/>
          <w:szCs w:val="24"/>
          <w:lang w:val="en-US"/>
        </w:rPr>
        <w:t xml:space="preserve"> shows </w:t>
      </w:r>
      <w:r w:rsidR="00A71A32">
        <w:rPr>
          <w:rFonts w:ascii="Times New Roman" w:hAnsi="Times New Roman" w:cs="Times New Roman"/>
          <w:sz w:val="24"/>
          <w:szCs w:val="24"/>
          <w:lang w:val="en-US"/>
        </w:rPr>
        <w:t xml:space="preserve">The Treasury’s </w:t>
      </w:r>
      <w:r w:rsidR="00FD0BDE">
        <w:rPr>
          <w:rFonts w:ascii="Times New Roman" w:hAnsi="Times New Roman" w:cs="Times New Roman"/>
          <w:sz w:val="24"/>
          <w:szCs w:val="24"/>
          <w:lang w:val="en-US"/>
        </w:rPr>
        <w:t>September 2020 forecasts for 2025-2027 (The T</w:t>
      </w:r>
      <w:r w:rsidR="00DE3EF1">
        <w:rPr>
          <w:rFonts w:ascii="Times New Roman" w:hAnsi="Times New Roman" w:cs="Times New Roman"/>
          <w:sz w:val="24"/>
          <w:szCs w:val="24"/>
          <w:lang w:val="en-US"/>
        </w:rPr>
        <w:t>reasury, 2020c, page</w:t>
      </w:r>
      <w:r w:rsidR="00A71A32">
        <w:rPr>
          <w:rFonts w:ascii="Times New Roman" w:hAnsi="Times New Roman" w:cs="Times New Roman"/>
          <w:sz w:val="24"/>
          <w:szCs w:val="24"/>
          <w:lang w:val="en-US"/>
        </w:rPr>
        <w:t xml:space="preserve"> 82</w:t>
      </w:r>
      <w:r w:rsidR="00FD0BDE">
        <w:rPr>
          <w:rFonts w:ascii="Times New Roman" w:hAnsi="Times New Roman" w:cs="Times New Roman"/>
          <w:sz w:val="24"/>
          <w:szCs w:val="24"/>
          <w:lang w:val="en-US"/>
        </w:rPr>
        <w:t>), and extrapolation of the December 2019 forecasts for 2025-2027</w:t>
      </w:r>
      <w:r w:rsidR="004069A9">
        <w:rPr>
          <w:rFonts w:ascii="Times New Roman" w:hAnsi="Times New Roman" w:cs="Times New Roman"/>
          <w:sz w:val="24"/>
          <w:szCs w:val="24"/>
          <w:lang w:val="en-US"/>
        </w:rPr>
        <w:t xml:space="preserve">.  </w:t>
      </w:r>
      <w:proofErr w:type="gramStart"/>
      <w:r w:rsidR="004069A9">
        <w:rPr>
          <w:rFonts w:ascii="Times New Roman" w:hAnsi="Times New Roman" w:cs="Times New Roman"/>
          <w:sz w:val="24"/>
          <w:szCs w:val="24"/>
          <w:lang w:val="en-US"/>
        </w:rPr>
        <w:t>Accumulating the GDP forecast</w:t>
      </w:r>
      <w:r w:rsidR="002F3831">
        <w:rPr>
          <w:rFonts w:ascii="Times New Roman" w:hAnsi="Times New Roman" w:cs="Times New Roman"/>
          <w:sz w:val="24"/>
          <w:szCs w:val="24"/>
          <w:lang w:val="en-US"/>
        </w:rPr>
        <w:t>s</w:t>
      </w:r>
      <w:r w:rsidR="004069A9">
        <w:rPr>
          <w:rFonts w:ascii="Times New Roman" w:hAnsi="Times New Roman" w:cs="Times New Roman"/>
          <w:sz w:val="24"/>
          <w:szCs w:val="24"/>
          <w:lang w:val="en-US"/>
        </w:rPr>
        <w:t xml:space="preserve"> out to 2027 yields 895.6 for the December 2019 forecasts and 847.8 for the September 2020 forecasts, as shown in the table.</w:t>
      </w:r>
      <w:proofErr w:type="gramEnd"/>
      <w:r w:rsidR="004069A9">
        <w:rPr>
          <w:rFonts w:ascii="Times New Roman" w:hAnsi="Times New Roman" w:cs="Times New Roman"/>
          <w:sz w:val="24"/>
          <w:szCs w:val="24"/>
          <w:lang w:val="en-US"/>
        </w:rPr>
        <w:t xml:space="preserve">  The difference is 47.8, i.e., 47.8% of 2019 GDP, which is $148b.  Even this is not the full extent of the shortfall because the forecast GDP in 2027 under the September 2020 forecasts is still short of that under the December 2019 (extrapolated) forecasts.</w:t>
      </w:r>
      <w:r w:rsidR="007D396C">
        <w:rPr>
          <w:rFonts w:ascii="Times New Roman" w:hAnsi="Times New Roman" w:cs="Times New Roman"/>
          <w:sz w:val="24"/>
          <w:szCs w:val="24"/>
          <w:lang w:val="en-US"/>
        </w:rPr>
        <w:t xml:space="preserve">  </w:t>
      </w:r>
    </w:p>
    <w:p w:rsidR="004805AB" w:rsidRDefault="004805AB" w:rsidP="00D60435">
      <w:pPr>
        <w:spacing w:after="0" w:line="360" w:lineRule="auto"/>
        <w:jc w:val="both"/>
        <w:rPr>
          <w:rFonts w:ascii="Times New Roman" w:hAnsi="Times New Roman" w:cs="Times New Roman"/>
          <w:sz w:val="24"/>
          <w:szCs w:val="24"/>
          <w:lang w:val="en-US"/>
        </w:rPr>
      </w:pPr>
    </w:p>
    <w:p w:rsidR="008E0609" w:rsidRDefault="00EE777A" w:rsidP="005D011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5</w:t>
      </w:r>
      <w:r w:rsidR="008E0609">
        <w:rPr>
          <w:rFonts w:ascii="Times New Roman" w:hAnsi="Times New Roman" w:cs="Times New Roman"/>
          <w:sz w:val="24"/>
          <w:szCs w:val="24"/>
          <w:lang w:val="en-US"/>
        </w:rPr>
        <w:t xml:space="preserve">: GDP </w:t>
      </w:r>
      <w:r w:rsidR="00436A8F">
        <w:rPr>
          <w:rFonts w:ascii="Times New Roman" w:hAnsi="Times New Roman" w:cs="Times New Roman"/>
          <w:sz w:val="24"/>
          <w:szCs w:val="24"/>
          <w:lang w:val="en-US"/>
        </w:rPr>
        <w:t>Forecasts</w:t>
      </w:r>
    </w:p>
    <w:p w:rsidR="008E0609" w:rsidRDefault="008E0609" w:rsidP="008E060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8E0609" w:rsidRDefault="00AE6198" w:rsidP="000C64AB">
      <w:pPr>
        <w:tabs>
          <w:tab w:val="left" w:pos="2268"/>
          <w:tab w:val="left" w:pos="3119"/>
          <w:tab w:val="left" w:pos="3969"/>
          <w:tab w:val="left" w:pos="4820"/>
          <w:tab w:val="left" w:pos="5670"/>
          <w:tab w:val="left" w:pos="6521"/>
          <w:tab w:val="left" w:pos="7371"/>
          <w:tab w:val="left" w:pos="822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2020</w:t>
      </w:r>
      <w:r>
        <w:rPr>
          <w:rFonts w:ascii="Times New Roman" w:hAnsi="Times New Roman" w:cs="Times New Roman"/>
          <w:sz w:val="24"/>
          <w:szCs w:val="24"/>
          <w:lang w:val="en-US"/>
        </w:rPr>
        <w:tab/>
        <w:t>2021</w:t>
      </w:r>
      <w:r>
        <w:rPr>
          <w:rFonts w:ascii="Times New Roman" w:hAnsi="Times New Roman" w:cs="Times New Roman"/>
          <w:sz w:val="24"/>
          <w:szCs w:val="24"/>
          <w:lang w:val="en-US"/>
        </w:rPr>
        <w:tab/>
        <w:t>2022</w:t>
      </w:r>
      <w:r>
        <w:rPr>
          <w:rFonts w:ascii="Times New Roman" w:hAnsi="Times New Roman" w:cs="Times New Roman"/>
          <w:sz w:val="24"/>
          <w:szCs w:val="24"/>
          <w:lang w:val="en-US"/>
        </w:rPr>
        <w:tab/>
        <w:t>2023</w:t>
      </w:r>
      <w:r>
        <w:rPr>
          <w:rFonts w:ascii="Times New Roman" w:hAnsi="Times New Roman" w:cs="Times New Roman"/>
          <w:sz w:val="24"/>
          <w:szCs w:val="24"/>
          <w:lang w:val="en-US"/>
        </w:rPr>
        <w:tab/>
        <w:t>2024</w:t>
      </w:r>
      <w:r w:rsidR="000C64AB">
        <w:rPr>
          <w:rFonts w:ascii="Times New Roman" w:hAnsi="Times New Roman" w:cs="Times New Roman"/>
          <w:sz w:val="24"/>
          <w:szCs w:val="24"/>
          <w:lang w:val="en-US"/>
        </w:rPr>
        <w:tab/>
        <w:t>2025</w:t>
      </w:r>
      <w:r w:rsidR="000C64AB">
        <w:rPr>
          <w:rFonts w:ascii="Times New Roman" w:hAnsi="Times New Roman" w:cs="Times New Roman"/>
          <w:sz w:val="24"/>
          <w:szCs w:val="24"/>
          <w:lang w:val="en-US"/>
        </w:rPr>
        <w:tab/>
        <w:t>2026</w:t>
      </w:r>
      <w:r w:rsidR="000C64AB">
        <w:rPr>
          <w:rFonts w:ascii="Times New Roman" w:hAnsi="Times New Roman" w:cs="Times New Roman"/>
          <w:sz w:val="24"/>
          <w:szCs w:val="24"/>
          <w:lang w:val="en-US"/>
        </w:rPr>
        <w:tab/>
        <w:t>2027</w:t>
      </w:r>
    </w:p>
    <w:p w:rsidR="008C1983" w:rsidRDefault="008C1983" w:rsidP="000C64AB">
      <w:pPr>
        <w:tabs>
          <w:tab w:val="left" w:pos="2268"/>
          <w:tab w:val="left" w:pos="3119"/>
          <w:tab w:val="left" w:pos="3969"/>
          <w:tab w:val="left" w:pos="4820"/>
          <w:tab w:val="left" w:pos="5670"/>
          <w:tab w:val="left" w:pos="6521"/>
          <w:tab w:val="left" w:pos="7371"/>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F060E7" w:rsidRDefault="00F060E7" w:rsidP="000C64AB">
      <w:pPr>
        <w:tabs>
          <w:tab w:val="left" w:pos="2268"/>
          <w:tab w:val="left" w:pos="3119"/>
          <w:tab w:val="left" w:pos="3969"/>
          <w:tab w:val="left" w:pos="4820"/>
          <w:tab w:val="left" w:pos="5670"/>
          <w:tab w:val="left" w:pos="6521"/>
          <w:tab w:val="left" w:pos="7371"/>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Dec 2019 Forecasts</w:t>
      </w:r>
      <w:r>
        <w:rPr>
          <w:rFonts w:ascii="Times New Roman" w:hAnsi="Times New Roman" w:cs="Times New Roman"/>
          <w:sz w:val="24"/>
          <w:szCs w:val="24"/>
          <w:lang w:val="en-US"/>
        </w:rPr>
        <w:tab/>
        <w:t>2.2%</w:t>
      </w:r>
      <w:r>
        <w:rPr>
          <w:rFonts w:ascii="Times New Roman" w:hAnsi="Times New Roman" w:cs="Times New Roman"/>
          <w:sz w:val="24"/>
          <w:szCs w:val="24"/>
          <w:lang w:val="en-US"/>
        </w:rPr>
        <w:tab/>
        <w:t>2.8%</w:t>
      </w:r>
      <w:r>
        <w:rPr>
          <w:rFonts w:ascii="Times New Roman" w:hAnsi="Times New Roman" w:cs="Times New Roman"/>
          <w:sz w:val="24"/>
          <w:szCs w:val="24"/>
          <w:lang w:val="en-US"/>
        </w:rPr>
        <w:tab/>
        <w:t>2.7%</w:t>
      </w:r>
      <w:r>
        <w:rPr>
          <w:rFonts w:ascii="Times New Roman" w:hAnsi="Times New Roman" w:cs="Times New Roman"/>
          <w:sz w:val="24"/>
          <w:szCs w:val="24"/>
          <w:lang w:val="en-US"/>
        </w:rPr>
        <w:tab/>
        <w:t>2.5%</w:t>
      </w:r>
      <w:r>
        <w:rPr>
          <w:rFonts w:ascii="Times New Roman" w:hAnsi="Times New Roman" w:cs="Times New Roman"/>
          <w:sz w:val="24"/>
          <w:szCs w:val="24"/>
          <w:lang w:val="en-US"/>
        </w:rPr>
        <w:tab/>
        <w:t>2.4%</w:t>
      </w:r>
      <w:r w:rsidR="00856A1C">
        <w:rPr>
          <w:rFonts w:ascii="Times New Roman" w:hAnsi="Times New Roman" w:cs="Times New Roman"/>
          <w:sz w:val="24"/>
          <w:szCs w:val="24"/>
          <w:lang w:val="en-US"/>
        </w:rPr>
        <w:tab/>
      </w:r>
      <w:r w:rsidR="00A31552">
        <w:rPr>
          <w:rFonts w:ascii="Times New Roman" w:hAnsi="Times New Roman" w:cs="Times New Roman"/>
          <w:sz w:val="24"/>
          <w:szCs w:val="24"/>
          <w:lang w:val="en-US"/>
        </w:rPr>
        <w:t>2.4%</w:t>
      </w:r>
      <w:r w:rsidR="00856A1C">
        <w:rPr>
          <w:rFonts w:ascii="Times New Roman" w:hAnsi="Times New Roman" w:cs="Times New Roman"/>
          <w:sz w:val="24"/>
          <w:szCs w:val="24"/>
          <w:lang w:val="en-US"/>
        </w:rPr>
        <w:tab/>
      </w:r>
      <w:r w:rsidR="00A31552">
        <w:rPr>
          <w:rFonts w:ascii="Times New Roman" w:hAnsi="Times New Roman" w:cs="Times New Roman"/>
          <w:sz w:val="24"/>
          <w:szCs w:val="24"/>
          <w:lang w:val="en-US"/>
        </w:rPr>
        <w:t>2.4%</w:t>
      </w:r>
      <w:r w:rsidR="00856A1C">
        <w:rPr>
          <w:rFonts w:ascii="Times New Roman" w:hAnsi="Times New Roman" w:cs="Times New Roman"/>
          <w:sz w:val="24"/>
          <w:szCs w:val="24"/>
          <w:lang w:val="en-US"/>
        </w:rPr>
        <w:tab/>
      </w:r>
      <w:r w:rsidR="00A31552">
        <w:rPr>
          <w:rFonts w:ascii="Times New Roman" w:hAnsi="Times New Roman" w:cs="Times New Roman"/>
          <w:sz w:val="24"/>
          <w:szCs w:val="24"/>
          <w:lang w:val="en-US"/>
        </w:rPr>
        <w:t>2.4%</w:t>
      </w:r>
    </w:p>
    <w:p w:rsidR="00F060E7" w:rsidRDefault="00F060E7" w:rsidP="000C64AB">
      <w:pPr>
        <w:tabs>
          <w:tab w:val="left" w:pos="2268"/>
          <w:tab w:val="left" w:pos="3119"/>
          <w:tab w:val="left" w:pos="3969"/>
          <w:tab w:val="left" w:pos="4820"/>
          <w:tab w:val="left" w:pos="5670"/>
          <w:tab w:val="left" w:pos="6521"/>
          <w:tab w:val="left" w:pos="7371"/>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GDP</w:t>
      </w:r>
      <w:r>
        <w:rPr>
          <w:rFonts w:ascii="Times New Roman" w:hAnsi="Times New Roman" w:cs="Times New Roman"/>
          <w:sz w:val="24"/>
          <w:szCs w:val="24"/>
          <w:lang w:val="en-US"/>
        </w:rPr>
        <w:tab/>
        <w:t>102</w:t>
      </w:r>
      <w:r w:rsidR="000C64AB">
        <w:rPr>
          <w:rFonts w:ascii="Times New Roman" w:hAnsi="Times New Roman" w:cs="Times New Roman"/>
          <w:sz w:val="24"/>
          <w:szCs w:val="24"/>
          <w:lang w:val="en-US"/>
        </w:rPr>
        <w:t>.2</w:t>
      </w:r>
      <w:r w:rsidR="000C64AB">
        <w:rPr>
          <w:rFonts w:ascii="Times New Roman" w:hAnsi="Times New Roman" w:cs="Times New Roman"/>
          <w:sz w:val="24"/>
          <w:szCs w:val="24"/>
          <w:lang w:val="en-US"/>
        </w:rPr>
        <w:tab/>
        <w:t>105.1</w:t>
      </w:r>
      <w:r w:rsidR="000C64AB">
        <w:rPr>
          <w:rFonts w:ascii="Times New Roman" w:hAnsi="Times New Roman" w:cs="Times New Roman"/>
          <w:sz w:val="24"/>
          <w:szCs w:val="24"/>
          <w:lang w:val="en-US"/>
        </w:rPr>
        <w:tab/>
        <w:t>107.9</w:t>
      </w:r>
      <w:r w:rsidR="000C64AB">
        <w:rPr>
          <w:rFonts w:ascii="Times New Roman" w:hAnsi="Times New Roman" w:cs="Times New Roman"/>
          <w:sz w:val="24"/>
          <w:szCs w:val="24"/>
          <w:lang w:val="en-US"/>
        </w:rPr>
        <w:tab/>
        <w:t>110.6</w:t>
      </w:r>
      <w:r w:rsidR="000C64AB">
        <w:rPr>
          <w:rFonts w:ascii="Times New Roman" w:hAnsi="Times New Roman" w:cs="Times New Roman"/>
          <w:sz w:val="24"/>
          <w:szCs w:val="24"/>
          <w:lang w:val="en-US"/>
        </w:rPr>
        <w:tab/>
        <w:t>113.3</w:t>
      </w:r>
      <w:r w:rsidR="000C64AB">
        <w:rPr>
          <w:rFonts w:ascii="Times New Roman" w:hAnsi="Times New Roman" w:cs="Times New Roman"/>
          <w:sz w:val="24"/>
          <w:szCs w:val="24"/>
          <w:lang w:val="en-US"/>
        </w:rPr>
        <w:tab/>
      </w:r>
      <w:r w:rsidR="00A31552">
        <w:rPr>
          <w:rFonts w:ascii="Times New Roman" w:hAnsi="Times New Roman" w:cs="Times New Roman"/>
          <w:sz w:val="24"/>
          <w:szCs w:val="24"/>
          <w:lang w:val="en-US"/>
        </w:rPr>
        <w:t>116.0</w:t>
      </w:r>
      <w:r w:rsidR="00A31552">
        <w:rPr>
          <w:rFonts w:ascii="Times New Roman" w:hAnsi="Times New Roman" w:cs="Times New Roman"/>
          <w:sz w:val="24"/>
          <w:szCs w:val="24"/>
          <w:lang w:val="en-US"/>
        </w:rPr>
        <w:tab/>
        <w:t>118.8</w:t>
      </w:r>
      <w:r w:rsidR="00A31552">
        <w:rPr>
          <w:rFonts w:ascii="Times New Roman" w:hAnsi="Times New Roman" w:cs="Times New Roman"/>
          <w:sz w:val="24"/>
          <w:szCs w:val="24"/>
          <w:lang w:val="en-US"/>
        </w:rPr>
        <w:tab/>
        <w:t>121.7</w:t>
      </w:r>
    </w:p>
    <w:p w:rsidR="000C64AB" w:rsidRDefault="000C64AB" w:rsidP="000C64AB">
      <w:pPr>
        <w:tabs>
          <w:tab w:val="left" w:pos="2268"/>
          <w:tab w:val="left" w:pos="3119"/>
          <w:tab w:val="left" w:pos="3969"/>
          <w:tab w:val="left" w:pos="4820"/>
          <w:tab w:val="left" w:pos="5670"/>
          <w:tab w:val="left" w:pos="6521"/>
          <w:tab w:val="left" w:pos="7371"/>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Sum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539.1</w:t>
      </w:r>
      <w:r w:rsidR="00A31552">
        <w:rPr>
          <w:rFonts w:ascii="Times New Roman" w:hAnsi="Times New Roman" w:cs="Times New Roman"/>
          <w:sz w:val="24"/>
          <w:szCs w:val="24"/>
          <w:lang w:val="en-US"/>
        </w:rPr>
        <w:tab/>
      </w:r>
      <w:r w:rsidR="00A31552">
        <w:rPr>
          <w:rFonts w:ascii="Times New Roman" w:hAnsi="Times New Roman" w:cs="Times New Roman"/>
          <w:sz w:val="24"/>
          <w:szCs w:val="24"/>
          <w:lang w:val="en-US"/>
        </w:rPr>
        <w:tab/>
      </w:r>
      <w:r w:rsidR="00A31552">
        <w:rPr>
          <w:rFonts w:ascii="Times New Roman" w:hAnsi="Times New Roman" w:cs="Times New Roman"/>
          <w:sz w:val="24"/>
          <w:szCs w:val="24"/>
          <w:lang w:val="en-US"/>
        </w:rPr>
        <w:tab/>
        <w:t>895.6</w:t>
      </w:r>
    </w:p>
    <w:p w:rsidR="00AE6198" w:rsidRDefault="00AE6198" w:rsidP="000C64AB">
      <w:pPr>
        <w:tabs>
          <w:tab w:val="left" w:pos="2268"/>
          <w:tab w:val="left" w:pos="3119"/>
          <w:tab w:val="left" w:pos="3969"/>
          <w:tab w:val="left" w:pos="4820"/>
          <w:tab w:val="left" w:pos="5670"/>
          <w:tab w:val="left" w:pos="6521"/>
          <w:tab w:val="left" w:pos="7371"/>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May 2020 Forecasts</w:t>
      </w:r>
      <w:r>
        <w:rPr>
          <w:rFonts w:ascii="Times New Roman" w:hAnsi="Times New Roman" w:cs="Times New Roman"/>
          <w:sz w:val="24"/>
          <w:szCs w:val="24"/>
          <w:lang w:val="en-US"/>
        </w:rPr>
        <w:tab/>
        <w:t>-4.6%</w:t>
      </w:r>
      <w:r>
        <w:rPr>
          <w:rFonts w:ascii="Times New Roman" w:hAnsi="Times New Roman" w:cs="Times New Roman"/>
          <w:sz w:val="24"/>
          <w:szCs w:val="24"/>
          <w:lang w:val="en-US"/>
        </w:rPr>
        <w:tab/>
        <w:t>-1.0%</w:t>
      </w:r>
      <w:r>
        <w:rPr>
          <w:rFonts w:ascii="Times New Roman" w:hAnsi="Times New Roman" w:cs="Times New Roman"/>
          <w:sz w:val="24"/>
          <w:szCs w:val="24"/>
          <w:lang w:val="en-US"/>
        </w:rPr>
        <w:tab/>
        <w:t>8.6%</w:t>
      </w:r>
      <w:r>
        <w:rPr>
          <w:rFonts w:ascii="Times New Roman" w:hAnsi="Times New Roman" w:cs="Times New Roman"/>
          <w:sz w:val="24"/>
          <w:szCs w:val="24"/>
          <w:lang w:val="en-US"/>
        </w:rPr>
        <w:tab/>
        <w:t>4.6%</w:t>
      </w:r>
      <w:r>
        <w:rPr>
          <w:rFonts w:ascii="Times New Roman" w:hAnsi="Times New Roman" w:cs="Times New Roman"/>
          <w:sz w:val="24"/>
          <w:szCs w:val="24"/>
          <w:lang w:val="en-US"/>
        </w:rPr>
        <w:tab/>
        <w:t>3.6%</w:t>
      </w:r>
    </w:p>
    <w:p w:rsidR="00AE6198" w:rsidRDefault="00AE6198" w:rsidP="000C64AB">
      <w:pPr>
        <w:tabs>
          <w:tab w:val="left" w:pos="2268"/>
          <w:tab w:val="left" w:pos="3119"/>
          <w:tab w:val="left" w:pos="3969"/>
          <w:tab w:val="left" w:pos="4820"/>
          <w:tab w:val="left" w:pos="5670"/>
          <w:tab w:val="left" w:pos="6521"/>
          <w:tab w:val="left" w:pos="7371"/>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GDP</w:t>
      </w:r>
      <w:r>
        <w:rPr>
          <w:rFonts w:ascii="Times New Roman" w:hAnsi="Times New Roman" w:cs="Times New Roman"/>
          <w:sz w:val="24"/>
          <w:szCs w:val="24"/>
          <w:lang w:val="en-US"/>
        </w:rPr>
        <w:tab/>
      </w:r>
      <w:r w:rsidR="000705BE">
        <w:rPr>
          <w:rFonts w:ascii="Times New Roman" w:hAnsi="Times New Roman" w:cs="Times New Roman"/>
          <w:sz w:val="24"/>
          <w:szCs w:val="24"/>
          <w:lang w:val="en-US"/>
        </w:rPr>
        <w:t>95.4</w:t>
      </w:r>
      <w:r w:rsidR="000705BE">
        <w:rPr>
          <w:rFonts w:ascii="Times New Roman" w:hAnsi="Times New Roman" w:cs="Times New Roman"/>
          <w:sz w:val="24"/>
          <w:szCs w:val="24"/>
          <w:lang w:val="en-US"/>
        </w:rPr>
        <w:tab/>
        <w:t>94.4</w:t>
      </w:r>
      <w:r w:rsidR="000705BE">
        <w:rPr>
          <w:rFonts w:ascii="Times New Roman" w:hAnsi="Times New Roman" w:cs="Times New Roman"/>
          <w:sz w:val="24"/>
          <w:szCs w:val="24"/>
          <w:lang w:val="en-US"/>
        </w:rPr>
        <w:tab/>
        <w:t>102.6</w:t>
      </w:r>
      <w:r w:rsidR="000705BE">
        <w:rPr>
          <w:rFonts w:ascii="Times New Roman" w:hAnsi="Times New Roman" w:cs="Times New Roman"/>
          <w:sz w:val="24"/>
          <w:szCs w:val="24"/>
          <w:lang w:val="en-US"/>
        </w:rPr>
        <w:tab/>
        <w:t>107.3</w:t>
      </w:r>
      <w:r w:rsidR="000705BE">
        <w:rPr>
          <w:rFonts w:ascii="Times New Roman" w:hAnsi="Times New Roman" w:cs="Times New Roman"/>
          <w:sz w:val="24"/>
          <w:szCs w:val="24"/>
          <w:lang w:val="en-US"/>
        </w:rPr>
        <w:tab/>
        <w:t>111.1</w:t>
      </w:r>
      <w:r w:rsidR="00F91151">
        <w:rPr>
          <w:rFonts w:ascii="Times New Roman" w:hAnsi="Times New Roman" w:cs="Times New Roman"/>
          <w:sz w:val="24"/>
          <w:szCs w:val="24"/>
          <w:lang w:val="en-US"/>
        </w:rPr>
        <w:tab/>
      </w:r>
      <w:r w:rsidR="000C64AB">
        <w:rPr>
          <w:rFonts w:ascii="Times New Roman" w:hAnsi="Times New Roman" w:cs="Times New Roman"/>
          <w:sz w:val="24"/>
          <w:szCs w:val="24"/>
          <w:lang w:val="en-US"/>
        </w:rPr>
        <w:tab/>
      </w:r>
      <w:r w:rsidR="000C64AB">
        <w:rPr>
          <w:rFonts w:ascii="Times New Roman" w:hAnsi="Times New Roman" w:cs="Times New Roman"/>
          <w:sz w:val="24"/>
          <w:szCs w:val="24"/>
          <w:lang w:val="en-US"/>
        </w:rPr>
        <w:tab/>
      </w:r>
    </w:p>
    <w:p w:rsidR="000C64AB" w:rsidRDefault="000C64AB" w:rsidP="000C64AB">
      <w:pPr>
        <w:tabs>
          <w:tab w:val="left" w:pos="2268"/>
          <w:tab w:val="left" w:pos="3119"/>
          <w:tab w:val="left" w:pos="3969"/>
          <w:tab w:val="left" w:pos="4820"/>
          <w:tab w:val="left" w:pos="5670"/>
          <w:tab w:val="left" w:pos="6521"/>
          <w:tab w:val="left" w:pos="7371"/>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510.8</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0C64AB" w:rsidRDefault="000C64AB" w:rsidP="000C64AB">
      <w:pPr>
        <w:tabs>
          <w:tab w:val="left" w:pos="2268"/>
          <w:tab w:val="left" w:pos="3119"/>
          <w:tab w:val="left" w:pos="3969"/>
          <w:tab w:val="left" w:pos="4820"/>
          <w:tab w:val="left" w:pos="5670"/>
          <w:tab w:val="left" w:pos="6521"/>
          <w:tab w:val="left" w:pos="7371"/>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Sept 2019 Forecasts</w:t>
      </w:r>
      <w:r>
        <w:rPr>
          <w:rFonts w:ascii="Times New Roman" w:hAnsi="Times New Roman" w:cs="Times New Roman"/>
          <w:sz w:val="24"/>
          <w:szCs w:val="24"/>
          <w:lang w:val="en-US"/>
        </w:rPr>
        <w:tab/>
      </w:r>
      <w:r w:rsidR="00A14A90">
        <w:rPr>
          <w:rFonts w:ascii="Times New Roman" w:hAnsi="Times New Roman" w:cs="Times New Roman"/>
          <w:sz w:val="24"/>
          <w:szCs w:val="24"/>
          <w:lang w:val="en-US"/>
        </w:rPr>
        <w:t>-3.1%</w:t>
      </w:r>
      <w:r>
        <w:rPr>
          <w:rFonts w:ascii="Times New Roman" w:hAnsi="Times New Roman" w:cs="Times New Roman"/>
          <w:sz w:val="24"/>
          <w:szCs w:val="24"/>
          <w:lang w:val="en-US"/>
        </w:rPr>
        <w:tab/>
      </w:r>
      <w:r w:rsidR="00A14A90">
        <w:rPr>
          <w:rFonts w:ascii="Times New Roman" w:hAnsi="Times New Roman" w:cs="Times New Roman"/>
          <w:sz w:val="24"/>
          <w:szCs w:val="24"/>
          <w:lang w:val="en-US"/>
        </w:rPr>
        <w:t>-0.5%</w:t>
      </w:r>
      <w:r>
        <w:rPr>
          <w:rFonts w:ascii="Times New Roman" w:hAnsi="Times New Roman" w:cs="Times New Roman"/>
          <w:sz w:val="24"/>
          <w:szCs w:val="24"/>
          <w:lang w:val="en-US"/>
        </w:rPr>
        <w:tab/>
      </w:r>
      <w:r w:rsidR="00A14A90">
        <w:rPr>
          <w:rFonts w:ascii="Times New Roman" w:hAnsi="Times New Roman" w:cs="Times New Roman"/>
          <w:sz w:val="24"/>
          <w:szCs w:val="24"/>
          <w:lang w:val="en-US"/>
        </w:rPr>
        <w:t>3.6%</w:t>
      </w:r>
      <w:r>
        <w:rPr>
          <w:rFonts w:ascii="Times New Roman" w:hAnsi="Times New Roman" w:cs="Times New Roman"/>
          <w:sz w:val="24"/>
          <w:szCs w:val="24"/>
          <w:lang w:val="en-US"/>
        </w:rPr>
        <w:tab/>
      </w:r>
      <w:r w:rsidR="00A14A90">
        <w:rPr>
          <w:rFonts w:ascii="Times New Roman" w:hAnsi="Times New Roman" w:cs="Times New Roman"/>
          <w:sz w:val="24"/>
          <w:szCs w:val="24"/>
          <w:lang w:val="en-US"/>
        </w:rPr>
        <w:t>3.9%</w:t>
      </w:r>
      <w:r>
        <w:rPr>
          <w:rFonts w:ascii="Times New Roman" w:hAnsi="Times New Roman" w:cs="Times New Roman"/>
          <w:sz w:val="24"/>
          <w:szCs w:val="24"/>
          <w:lang w:val="en-US"/>
        </w:rPr>
        <w:tab/>
      </w:r>
      <w:r w:rsidR="00A14A90">
        <w:rPr>
          <w:rFonts w:ascii="Times New Roman" w:hAnsi="Times New Roman" w:cs="Times New Roman"/>
          <w:sz w:val="24"/>
          <w:szCs w:val="24"/>
          <w:lang w:val="en-US"/>
        </w:rPr>
        <w:t>4.1%</w:t>
      </w:r>
      <w:r w:rsidR="00A14A90">
        <w:rPr>
          <w:rFonts w:ascii="Times New Roman" w:hAnsi="Times New Roman" w:cs="Times New Roman"/>
          <w:sz w:val="24"/>
          <w:szCs w:val="24"/>
          <w:lang w:val="en-US"/>
        </w:rPr>
        <w:tab/>
        <w:t>2.8%</w:t>
      </w:r>
      <w:r w:rsidR="00A14A90">
        <w:rPr>
          <w:rFonts w:ascii="Times New Roman" w:hAnsi="Times New Roman" w:cs="Times New Roman"/>
          <w:sz w:val="24"/>
          <w:szCs w:val="24"/>
          <w:lang w:val="en-US"/>
        </w:rPr>
        <w:tab/>
        <w:t>2.9%</w:t>
      </w:r>
      <w:r w:rsidR="00A14A90">
        <w:rPr>
          <w:rFonts w:ascii="Times New Roman" w:hAnsi="Times New Roman" w:cs="Times New Roman"/>
          <w:sz w:val="24"/>
          <w:szCs w:val="24"/>
          <w:lang w:val="en-US"/>
        </w:rPr>
        <w:tab/>
        <w:t>2.9%</w:t>
      </w:r>
    </w:p>
    <w:p w:rsidR="000C64AB" w:rsidRDefault="000C64AB" w:rsidP="000C64AB">
      <w:pPr>
        <w:tabs>
          <w:tab w:val="left" w:pos="2268"/>
          <w:tab w:val="left" w:pos="3119"/>
          <w:tab w:val="left" w:pos="3969"/>
          <w:tab w:val="left" w:pos="4820"/>
          <w:tab w:val="left" w:pos="5670"/>
          <w:tab w:val="left" w:pos="6521"/>
          <w:tab w:val="left" w:pos="7371"/>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Implied GDP</w:t>
      </w:r>
      <w:r>
        <w:rPr>
          <w:rFonts w:ascii="Times New Roman" w:hAnsi="Times New Roman" w:cs="Times New Roman"/>
          <w:sz w:val="24"/>
          <w:szCs w:val="24"/>
          <w:lang w:val="en-US"/>
        </w:rPr>
        <w:tab/>
      </w:r>
      <w:r w:rsidR="00A14A90">
        <w:rPr>
          <w:rFonts w:ascii="Times New Roman" w:hAnsi="Times New Roman" w:cs="Times New Roman"/>
          <w:sz w:val="24"/>
          <w:szCs w:val="24"/>
          <w:lang w:val="en-US"/>
        </w:rPr>
        <w:t>96.9</w:t>
      </w:r>
      <w:r>
        <w:rPr>
          <w:rFonts w:ascii="Times New Roman" w:hAnsi="Times New Roman" w:cs="Times New Roman"/>
          <w:sz w:val="24"/>
          <w:szCs w:val="24"/>
          <w:lang w:val="en-US"/>
        </w:rPr>
        <w:tab/>
      </w:r>
      <w:r w:rsidR="00856A1C">
        <w:rPr>
          <w:rFonts w:ascii="Times New Roman" w:hAnsi="Times New Roman" w:cs="Times New Roman"/>
          <w:sz w:val="24"/>
          <w:szCs w:val="24"/>
          <w:lang w:val="en-US"/>
        </w:rPr>
        <w:t>96.4</w:t>
      </w:r>
      <w:r>
        <w:rPr>
          <w:rFonts w:ascii="Times New Roman" w:hAnsi="Times New Roman" w:cs="Times New Roman"/>
          <w:sz w:val="24"/>
          <w:szCs w:val="24"/>
          <w:lang w:val="en-US"/>
        </w:rPr>
        <w:tab/>
      </w:r>
      <w:r w:rsidR="00856A1C">
        <w:rPr>
          <w:rFonts w:ascii="Times New Roman" w:hAnsi="Times New Roman" w:cs="Times New Roman"/>
          <w:sz w:val="24"/>
          <w:szCs w:val="24"/>
          <w:lang w:val="en-US"/>
        </w:rPr>
        <w:t>99.9</w:t>
      </w:r>
      <w:r>
        <w:rPr>
          <w:rFonts w:ascii="Times New Roman" w:hAnsi="Times New Roman" w:cs="Times New Roman"/>
          <w:sz w:val="24"/>
          <w:szCs w:val="24"/>
          <w:lang w:val="en-US"/>
        </w:rPr>
        <w:tab/>
      </w:r>
      <w:r w:rsidR="00856A1C">
        <w:rPr>
          <w:rFonts w:ascii="Times New Roman" w:hAnsi="Times New Roman" w:cs="Times New Roman"/>
          <w:sz w:val="24"/>
          <w:szCs w:val="24"/>
          <w:lang w:val="en-US"/>
        </w:rPr>
        <w:t>103.8</w:t>
      </w:r>
      <w:r>
        <w:rPr>
          <w:rFonts w:ascii="Times New Roman" w:hAnsi="Times New Roman" w:cs="Times New Roman"/>
          <w:sz w:val="24"/>
          <w:szCs w:val="24"/>
          <w:lang w:val="en-US"/>
        </w:rPr>
        <w:tab/>
      </w:r>
      <w:r w:rsidR="00856A1C">
        <w:rPr>
          <w:rFonts w:ascii="Times New Roman" w:hAnsi="Times New Roman" w:cs="Times New Roman"/>
          <w:sz w:val="24"/>
          <w:szCs w:val="24"/>
          <w:lang w:val="en-US"/>
        </w:rPr>
        <w:t>108.0</w:t>
      </w:r>
      <w:r>
        <w:rPr>
          <w:rFonts w:ascii="Times New Roman" w:hAnsi="Times New Roman" w:cs="Times New Roman"/>
          <w:sz w:val="24"/>
          <w:szCs w:val="24"/>
          <w:lang w:val="en-US"/>
        </w:rPr>
        <w:tab/>
      </w:r>
      <w:r w:rsidR="00856A1C">
        <w:rPr>
          <w:rFonts w:ascii="Times New Roman" w:hAnsi="Times New Roman" w:cs="Times New Roman"/>
          <w:sz w:val="24"/>
          <w:szCs w:val="24"/>
          <w:lang w:val="en-US"/>
        </w:rPr>
        <w:t>111.0</w:t>
      </w:r>
      <w:r>
        <w:rPr>
          <w:rFonts w:ascii="Times New Roman" w:hAnsi="Times New Roman" w:cs="Times New Roman"/>
          <w:sz w:val="24"/>
          <w:szCs w:val="24"/>
          <w:lang w:val="en-US"/>
        </w:rPr>
        <w:tab/>
      </w:r>
      <w:r w:rsidR="00856A1C">
        <w:rPr>
          <w:rFonts w:ascii="Times New Roman" w:hAnsi="Times New Roman" w:cs="Times New Roman"/>
          <w:sz w:val="24"/>
          <w:szCs w:val="24"/>
          <w:lang w:val="en-US"/>
        </w:rPr>
        <w:t>114.2</w:t>
      </w:r>
      <w:r>
        <w:rPr>
          <w:rFonts w:ascii="Times New Roman" w:hAnsi="Times New Roman" w:cs="Times New Roman"/>
          <w:sz w:val="24"/>
          <w:szCs w:val="24"/>
          <w:lang w:val="en-US"/>
        </w:rPr>
        <w:tab/>
      </w:r>
      <w:r w:rsidR="00856A1C">
        <w:rPr>
          <w:rFonts w:ascii="Times New Roman" w:hAnsi="Times New Roman" w:cs="Times New Roman"/>
          <w:sz w:val="24"/>
          <w:szCs w:val="24"/>
          <w:lang w:val="en-US"/>
        </w:rPr>
        <w:t>117.6</w:t>
      </w:r>
    </w:p>
    <w:p w:rsidR="000C64AB" w:rsidRDefault="000C64AB" w:rsidP="000C64AB">
      <w:pPr>
        <w:tabs>
          <w:tab w:val="left" w:pos="2268"/>
          <w:tab w:val="left" w:pos="3119"/>
          <w:tab w:val="left" w:pos="3969"/>
          <w:tab w:val="left" w:pos="4820"/>
          <w:tab w:val="left" w:pos="5670"/>
          <w:tab w:val="left" w:pos="6521"/>
          <w:tab w:val="left" w:pos="7371"/>
          <w:tab w:val="left" w:pos="822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w:t>
      </w:r>
      <w:r w:rsidR="00A31552">
        <w:rPr>
          <w:rFonts w:ascii="Times New Roman" w:hAnsi="Times New Roman" w:cs="Times New Roman"/>
          <w:sz w:val="24"/>
          <w:szCs w:val="24"/>
          <w:lang w:val="en-US"/>
        </w:rPr>
        <w:tab/>
      </w:r>
      <w:r w:rsidR="00A31552">
        <w:rPr>
          <w:rFonts w:ascii="Times New Roman" w:hAnsi="Times New Roman" w:cs="Times New Roman"/>
          <w:sz w:val="24"/>
          <w:szCs w:val="24"/>
          <w:lang w:val="en-US"/>
        </w:rPr>
        <w:tab/>
      </w:r>
      <w:r w:rsidR="00A31552">
        <w:rPr>
          <w:rFonts w:ascii="Times New Roman" w:hAnsi="Times New Roman" w:cs="Times New Roman"/>
          <w:sz w:val="24"/>
          <w:szCs w:val="24"/>
          <w:lang w:val="en-US"/>
        </w:rPr>
        <w:tab/>
      </w:r>
      <w:r w:rsidR="00A31552">
        <w:rPr>
          <w:rFonts w:ascii="Times New Roman" w:hAnsi="Times New Roman" w:cs="Times New Roman"/>
          <w:sz w:val="24"/>
          <w:szCs w:val="24"/>
          <w:lang w:val="en-US"/>
        </w:rPr>
        <w:tab/>
      </w:r>
      <w:r w:rsidR="00A31552">
        <w:rPr>
          <w:rFonts w:ascii="Times New Roman" w:hAnsi="Times New Roman" w:cs="Times New Roman"/>
          <w:sz w:val="24"/>
          <w:szCs w:val="24"/>
          <w:lang w:val="en-US"/>
        </w:rPr>
        <w:tab/>
      </w:r>
      <w:r w:rsidR="005E524B">
        <w:rPr>
          <w:rFonts w:ascii="Times New Roman" w:hAnsi="Times New Roman" w:cs="Times New Roman"/>
          <w:sz w:val="24"/>
          <w:szCs w:val="24"/>
          <w:lang w:val="en-US"/>
        </w:rPr>
        <w:t>505.0</w:t>
      </w:r>
      <w:r w:rsidR="00A31552">
        <w:rPr>
          <w:rFonts w:ascii="Times New Roman" w:hAnsi="Times New Roman" w:cs="Times New Roman"/>
          <w:sz w:val="24"/>
          <w:szCs w:val="24"/>
          <w:lang w:val="en-US"/>
        </w:rPr>
        <w:tab/>
      </w:r>
      <w:r w:rsidR="00A31552">
        <w:rPr>
          <w:rFonts w:ascii="Times New Roman" w:hAnsi="Times New Roman" w:cs="Times New Roman"/>
          <w:sz w:val="24"/>
          <w:szCs w:val="24"/>
          <w:lang w:val="en-US"/>
        </w:rPr>
        <w:tab/>
      </w:r>
      <w:r w:rsidR="00A31552">
        <w:rPr>
          <w:rFonts w:ascii="Times New Roman" w:hAnsi="Times New Roman" w:cs="Times New Roman"/>
          <w:sz w:val="24"/>
          <w:szCs w:val="24"/>
          <w:lang w:val="en-US"/>
        </w:rPr>
        <w:tab/>
      </w:r>
      <w:r w:rsidR="001C6983">
        <w:rPr>
          <w:rFonts w:ascii="Times New Roman" w:hAnsi="Times New Roman" w:cs="Times New Roman"/>
          <w:sz w:val="24"/>
          <w:szCs w:val="24"/>
          <w:lang w:val="en-US"/>
        </w:rPr>
        <w:t>847.8</w:t>
      </w:r>
    </w:p>
    <w:p w:rsidR="00F22915" w:rsidRDefault="00F22915" w:rsidP="007D084A">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6B6FF6" w:rsidRDefault="006B6FF6" w:rsidP="006B6FF6">
      <w:pPr>
        <w:spacing w:after="0" w:line="360" w:lineRule="auto"/>
        <w:rPr>
          <w:rFonts w:ascii="Times New Roman" w:hAnsi="Times New Roman" w:cs="Times New Roman"/>
          <w:sz w:val="24"/>
          <w:szCs w:val="24"/>
          <w:lang w:val="en-US"/>
        </w:rPr>
      </w:pPr>
    </w:p>
    <w:p w:rsidR="00BC5160" w:rsidRDefault="00BC5160" w:rsidP="001570F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the expected GDP loss from the pandemic is now at least $148b rather than $87b, one might suspect that the GDP loss due to lockdown rather than mitigation would be more than the </w:t>
      </w:r>
      <w:r w:rsidR="008F1ED7">
        <w:rPr>
          <w:rFonts w:ascii="Times New Roman" w:hAnsi="Times New Roman" w:cs="Times New Roman"/>
          <w:sz w:val="24"/>
          <w:szCs w:val="24"/>
          <w:lang w:val="en-US"/>
        </w:rPr>
        <w:t>$27b estimated earlier.  Two possibilities consistent with this exist.  The first is that the expected GDP loss per additional month of lockdown is now larger than the 4.4% of GDP estimated from The Treasury’s March 2020 scenarios.  The other possibility is that The Treasury now expects the lockdowns to be longer than the two months envisaged in scenario 1 in March 2020.</w:t>
      </w:r>
      <w:r w:rsidR="0009208A">
        <w:rPr>
          <w:rFonts w:ascii="Times New Roman" w:hAnsi="Times New Roman" w:cs="Times New Roman"/>
          <w:sz w:val="24"/>
          <w:szCs w:val="24"/>
          <w:lang w:val="en-US"/>
        </w:rPr>
        <w:t xml:space="preserve">  </w:t>
      </w:r>
      <w:r w:rsidR="001A503A">
        <w:rPr>
          <w:rFonts w:ascii="Times New Roman" w:hAnsi="Times New Roman" w:cs="Times New Roman"/>
          <w:sz w:val="24"/>
          <w:szCs w:val="24"/>
          <w:lang w:val="en-US"/>
        </w:rPr>
        <w:t xml:space="preserve">The lockdowns envisaged by </w:t>
      </w:r>
      <w:r w:rsidR="0009208A">
        <w:rPr>
          <w:rFonts w:ascii="Times New Roman" w:hAnsi="Times New Roman" w:cs="Times New Roman"/>
          <w:sz w:val="24"/>
          <w:szCs w:val="24"/>
          <w:lang w:val="en-US"/>
        </w:rPr>
        <w:t xml:space="preserve">The Treasury </w:t>
      </w:r>
      <w:r w:rsidR="001A503A">
        <w:rPr>
          <w:rFonts w:ascii="Times New Roman" w:hAnsi="Times New Roman" w:cs="Times New Roman"/>
          <w:sz w:val="24"/>
          <w:szCs w:val="24"/>
          <w:lang w:val="en-US"/>
        </w:rPr>
        <w:t xml:space="preserve">in </w:t>
      </w:r>
      <w:r w:rsidR="0009208A">
        <w:rPr>
          <w:rFonts w:ascii="Times New Roman" w:hAnsi="Times New Roman" w:cs="Times New Roman"/>
          <w:sz w:val="24"/>
          <w:szCs w:val="24"/>
          <w:lang w:val="en-US"/>
        </w:rPr>
        <w:t>scenario 1</w:t>
      </w:r>
      <w:r w:rsidR="001A503A">
        <w:rPr>
          <w:rFonts w:ascii="Times New Roman" w:hAnsi="Times New Roman" w:cs="Times New Roman"/>
          <w:sz w:val="24"/>
          <w:szCs w:val="24"/>
          <w:lang w:val="en-US"/>
        </w:rPr>
        <w:t xml:space="preserve"> were one month </w:t>
      </w:r>
      <w:r w:rsidR="00346790">
        <w:rPr>
          <w:rFonts w:ascii="Times New Roman" w:hAnsi="Times New Roman" w:cs="Times New Roman"/>
          <w:sz w:val="24"/>
          <w:szCs w:val="24"/>
          <w:lang w:val="en-US"/>
        </w:rPr>
        <w:t xml:space="preserve">nationally </w:t>
      </w:r>
      <w:r w:rsidR="001A503A">
        <w:rPr>
          <w:rFonts w:ascii="Times New Roman" w:hAnsi="Times New Roman" w:cs="Times New Roman"/>
          <w:sz w:val="24"/>
          <w:szCs w:val="24"/>
          <w:lang w:val="en-US"/>
        </w:rPr>
        <w:t xml:space="preserve">in Level 3 and one in Level 4.  Since Level 4 is 60% more stringent than Level 3 (The Treasury, 2020a, page 7), this is equivalent to 2.6 months in Level 3.  </w:t>
      </w:r>
      <w:r w:rsidR="00346790">
        <w:rPr>
          <w:rFonts w:ascii="Times New Roman" w:hAnsi="Times New Roman" w:cs="Times New Roman"/>
          <w:sz w:val="24"/>
          <w:szCs w:val="24"/>
          <w:lang w:val="en-US"/>
        </w:rPr>
        <w:t>By</w:t>
      </w:r>
      <w:r w:rsidR="00986F17">
        <w:rPr>
          <w:rFonts w:ascii="Times New Roman" w:hAnsi="Times New Roman" w:cs="Times New Roman"/>
          <w:sz w:val="24"/>
          <w:szCs w:val="24"/>
          <w:lang w:val="en-US"/>
        </w:rPr>
        <w:t xml:space="preserve"> contrast the lockdowns to date have been 33 days </w:t>
      </w:r>
      <w:r w:rsidR="00346790">
        <w:rPr>
          <w:rFonts w:ascii="Times New Roman" w:hAnsi="Times New Roman" w:cs="Times New Roman"/>
          <w:sz w:val="24"/>
          <w:szCs w:val="24"/>
          <w:lang w:val="en-US"/>
        </w:rPr>
        <w:t xml:space="preserve">nationally </w:t>
      </w:r>
      <w:r w:rsidR="00986F17">
        <w:rPr>
          <w:rFonts w:ascii="Times New Roman" w:hAnsi="Times New Roman" w:cs="Times New Roman"/>
          <w:sz w:val="24"/>
          <w:szCs w:val="24"/>
          <w:lang w:val="en-US"/>
        </w:rPr>
        <w:t>in L</w:t>
      </w:r>
      <w:r w:rsidR="00346790">
        <w:rPr>
          <w:rFonts w:ascii="Times New Roman" w:hAnsi="Times New Roman" w:cs="Times New Roman"/>
          <w:sz w:val="24"/>
          <w:szCs w:val="24"/>
          <w:lang w:val="en-US"/>
        </w:rPr>
        <w:t>evel 4</w:t>
      </w:r>
      <w:r w:rsidR="00986F17">
        <w:rPr>
          <w:rFonts w:ascii="Times New Roman" w:hAnsi="Times New Roman" w:cs="Times New Roman"/>
          <w:sz w:val="24"/>
          <w:szCs w:val="24"/>
          <w:lang w:val="en-US"/>
        </w:rPr>
        <w:t xml:space="preserve">, 18 days </w:t>
      </w:r>
      <w:r w:rsidR="00346790">
        <w:rPr>
          <w:rFonts w:ascii="Times New Roman" w:hAnsi="Times New Roman" w:cs="Times New Roman"/>
          <w:sz w:val="24"/>
          <w:szCs w:val="24"/>
          <w:lang w:val="en-US"/>
        </w:rPr>
        <w:t xml:space="preserve">nationally </w:t>
      </w:r>
      <w:r w:rsidR="00986F17">
        <w:rPr>
          <w:rFonts w:ascii="Times New Roman" w:hAnsi="Times New Roman" w:cs="Times New Roman"/>
          <w:sz w:val="24"/>
          <w:szCs w:val="24"/>
          <w:lang w:val="en-US"/>
        </w:rPr>
        <w:t>in Level 3</w:t>
      </w:r>
      <w:r w:rsidR="00346790">
        <w:rPr>
          <w:rFonts w:ascii="Times New Roman" w:hAnsi="Times New Roman" w:cs="Times New Roman"/>
          <w:sz w:val="24"/>
          <w:szCs w:val="24"/>
          <w:lang w:val="en-US"/>
        </w:rPr>
        <w:t>, and 18 days for the Auckland region in Level 3.  Since Auckland constitutes</w:t>
      </w:r>
      <w:r w:rsidR="00295229">
        <w:rPr>
          <w:rFonts w:ascii="Times New Roman" w:hAnsi="Times New Roman" w:cs="Times New Roman"/>
          <w:sz w:val="24"/>
          <w:szCs w:val="24"/>
          <w:lang w:val="en-US"/>
        </w:rPr>
        <w:t xml:space="preserve"> 38% of national GDP, this is equivalent to 77.6 days at Level 3 nationally, which is 2.6 months.</w:t>
      </w:r>
      <w:r w:rsidR="00345DD3">
        <w:rPr>
          <w:rStyle w:val="FootnoteReference"/>
          <w:rFonts w:ascii="Times New Roman" w:hAnsi="Times New Roman" w:cs="Times New Roman"/>
          <w:sz w:val="24"/>
          <w:szCs w:val="24"/>
          <w:lang w:val="en-US"/>
        </w:rPr>
        <w:footnoteReference w:id="20"/>
      </w:r>
      <w:r w:rsidR="00295229">
        <w:rPr>
          <w:rFonts w:ascii="Times New Roman" w:hAnsi="Times New Roman" w:cs="Times New Roman"/>
          <w:sz w:val="24"/>
          <w:szCs w:val="24"/>
          <w:lang w:val="en-US"/>
        </w:rPr>
        <w:t xml:space="preserve">  So, lockdowns to date match The Treasury’s M</w:t>
      </w:r>
      <w:r w:rsidR="000032A2">
        <w:rPr>
          <w:rFonts w:ascii="Times New Roman" w:hAnsi="Times New Roman" w:cs="Times New Roman"/>
          <w:sz w:val="24"/>
          <w:szCs w:val="24"/>
          <w:lang w:val="en-US"/>
        </w:rPr>
        <w:t xml:space="preserve">arch 2020 scenario 1.  However the fact that the Auckland lockdown happened raises the possibility of further such lockdowns, and therefore that The Treasury’s </w:t>
      </w:r>
      <w:r w:rsidR="00345DD3">
        <w:rPr>
          <w:rFonts w:ascii="Times New Roman" w:hAnsi="Times New Roman" w:cs="Times New Roman"/>
          <w:sz w:val="24"/>
          <w:szCs w:val="24"/>
          <w:lang w:val="en-US"/>
        </w:rPr>
        <w:t xml:space="preserve">less </w:t>
      </w:r>
      <w:proofErr w:type="spellStart"/>
      <w:r w:rsidR="000032A2">
        <w:rPr>
          <w:rFonts w:ascii="Times New Roman" w:hAnsi="Times New Roman" w:cs="Times New Roman"/>
          <w:sz w:val="24"/>
          <w:szCs w:val="24"/>
          <w:lang w:val="en-US"/>
        </w:rPr>
        <w:t>favourable</w:t>
      </w:r>
      <w:proofErr w:type="spellEnd"/>
      <w:r w:rsidR="000032A2">
        <w:rPr>
          <w:rFonts w:ascii="Times New Roman" w:hAnsi="Times New Roman" w:cs="Times New Roman"/>
          <w:sz w:val="24"/>
          <w:szCs w:val="24"/>
          <w:lang w:val="en-US"/>
        </w:rPr>
        <w:t xml:space="preserve"> GDP forecasts in September compared to March </w:t>
      </w:r>
      <w:r w:rsidR="000418D1">
        <w:rPr>
          <w:rFonts w:ascii="Times New Roman" w:hAnsi="Times New Roman" w:cs="Times New Roman"/>
          <w:sz w:val="24"/>
          <w:szCs w:val="24"/>
          <w:lang w:val="en-US"/>
        </w:rPr>
        <w:t xml:space="preserve">reflect its belief that further lockdowns will happen.  Both interpretations are possible.  However, in the interests of being conservative, I assume that The Treasury still believes that each month of lockdown rather than mitigation cost 4.4% of GDP, in which case </w:t>
      </w:r>
      <w:r w:rsidR="00C14044">
        <w:rPr>
          <w:rFonts w:ascii="Times New Roman" w:hAnsi="Times New Roman" w:cs="Times New Roman"/>
          <w:sz w:val="24"/>
          <w:szCs w:val="24"/>
          <w:lang w:val="en-US"/>
        </w:rPr>
        <w:t xml:space="preserve">the less </w:t>
      </w:r>
      <w:proofErr w:type="spellStart"/>
      <w:r w:rsidR="00C14044">
        <w:rPr>
          <w:rFonts w:ascii="Times New Roman" w:hAnsi="Times New Roman" w:cs="Times New Roman"/>
          <w:sz w:val="24"/>
          <w:szCs w:val="24"/>
          <w:lang w:val="en-US"/>
        </w:rPr>
        <w:t>favourable</w:t>
      </w:r>
      <w:proofErr w:type="spellEnd"/>
      <w:r w:rsidR="00C14044">
        <w:rPr>
          <w:rFonts w:ascii="Times New Roman" w:hAnsi="Times New Roman" w:cs="Times New Roman"/>
          <w:sz w:val="24"/>
          <w:szCs w:val="24"/>
          <w:lang w:val="en-US"/>
        </w:rPr>
        <w:t xml:space="preserve"> forecasts in September relative to May are attributable to greater pandemic costs in the other categories.  </w:t>
      </w:r>
      <w:proofErr w:type="gramStart"/>
      <w:r w:rsidR="00C14044">
        <w:rPr>
          <w:rFonts w:ascii="Times New Roman" w:hAnsi="Times New Roman" w:cs="Times New Roman"/>
          <w:sz w:val="24"/>
          <w:szCs w:val="24"/>
          <w:lang w:val="en-US"/>
        </w:rPr>
        <w:t>The expected cost of the lockdown in then at least $27b</w:t>
      </w:r>
      <w:r w:rsidR="002F3831">
        <w:rPr>
          <w:rFonts w:ascii="Times New Roman" w:hAnsi="Times New Roman" w:cs="Times New Roman"/>
          <w:sz w:val="24"/>
          <w:szCs w:val="24"/>
          <w:lang w:val="en-US"/>
        </w:rPr>
        <w:t>.</w:t>
      </w:r>
      <w:proofErr w:type="gramEnd"/>
      <w:r w:rsidR="002F3831">
        <w:rPr>
          <w:rFonts w:ascii="Times New Roman" w:hAnsi="Times New Roman" w:cs="Times New Roman"/>
          <w:sz w:val="24"/>
          <w:szCs w:val="24"/>
          <w:lang w:val="en-US"/>
        </w:rPr>
        <w:t xml:space="preserve">  At the lower bound of $27b, this represents 18% of the pandemic cost of $148b.</w:t>
      </w:r>
    </w:p>
    <w:p w:rsidR="00CA6E45" w:rsidRPr="00CA6E45" w:rsidRDefault="00CA6E45" w:rsidP="00CA6E45">
      <w:pPr>
        <w:spacing w:after="0" w:line="360" w:lineRule="auto"/>
        <w:jc w:val="both"/>
        <w:rPr>
          <w:rFonts w:ascii="Times New Roman" w:hAnsi="Times New Roman" w:cs="Times New Roman"/>
          <w:sz w:val="24"/>
          <w:szCs w:val="24"/>
          <w:lang w:val="en-US"/>
        </w:rPr>
      </w:pPr>
    </w:p>
    <w:p w:rsidR="00CA6E45" w:rsidRPr="00CA6E45" w:rsidRDefault="00CA6E45" w:rsidP="00CA6E45">
      <w:pPr>
        <w:spacing w:after="0" w:line="360" w:lineRule="auto"/>
        <w:jc w:val="both"/>
        <w:rPr>
          <w:rFonts w:ascii="Times New Roman" w:hAnsi="Times New Roman" w:cs="Times New Roman"/>
          <w:sz w:val="24"/>
          <w:szCs w:val="24"/>
          <w:lang w:val="en-US"/>
        </w:rPr>
      </w:pPr>
      <w:r w:rsidRPr="00CA6E45">
        <w:rPr>
          <w:rFonts w:ascii="Times New Roman" w:hAnsi="Times New Roman" w:cs="Times New Roman"/>
          <w:sz w:val="24"/>
          <w:szCs w:val="24"/>
          <w:lang w:val="en-US"/>
        </w:rPr>
        <w:t xml:space="preserve">Further evidence on this matter comes from natural experiments involving adjoining geographical regions, with only one subject to lockdown.  Andersen et al (2020) examine the </w:t>
      </w:r>
      <w:r w:rsidRPr="00CA6E45">
        <w:rPr>
          <w:rFonts w:ascii="Times New Roman" w:hAnsi="Times New Roman" w:cs="Times New Roman"/>
          <w:sz w:val="24"/>
          <w:szCs w:val="24"/>
          <w:lang w:val="en-US"/>
        </w:rPr>
        <w:lastRenderedPageBreak/>
        <w:t>drop in consumer spending in the early stages of the pandemic (11 March to 5 April), relative to 2 January till 15 February) in both Denmark (which adopted a lockdown policy) and Sweden (which adopted a mitigation policy).  They find that the drop in Sweden was 86% of that in Denmark (25% drop versus 29% drop), implying that 14% of the drop in Denmark was due to a lockdown rather than a mitigation policy.  In a similar study (</w:t>
      </w:r>
      <w:proofErr w:type="spellStart"/>
      <w:r w:rsidRPr="00CA6E45">
        <w:rPr>
          <w:rFonts w:ascii="Times New Roman" w:hAnsi="Times New Roman" w:cs="Times New Roman"/>
          <w:sz w:val="24"/>
          <w:szCs w:val="24"/>
          <w:lang w:val="en-US"/>
        </w:rPr>
        <w:t>Goolsbee</w:t>
      </w:r>
      <w:proofErr w:type="spellEnd"/>
      <w:r w:rsidRPr="00CA6E45">
        <w:rPr>
          <w:rFonts w:ascii="Times New Roman" w:hAnsi="Times New Roman" w:cs="Times New Roman"/>
          <w:sz w:val="24"/>
          <w:szCs w:val="24"/>
          <w:lang w:val="en-US"/>
        </w:rPr>
        <w:t xml:space="preserve"> and </w:t>
      </w:r>
      <w:proofErr w:type="spellStart"/>
      <w:r w:rsidRPr="00CA6E45">
        <w:rPr>
          <w:rFonts w:ascii="Times New Roman" w:hAnsi="Times New Roman" w:cs="Times New Roman"/>
          <w:sz w:val="24"/>
          <w:szCs w:val="24"/>
          <w:lang w:val="en-US"/>
        </w:rPr>
        <w:t>Syverson</w:t>
      </w:r>
      <w:proofErr w:type="spellEnd"/>
      <w:r w:rsidRPr="00CA6E45">
        <w:rPr>
          <w:rFonts w:ascii="Times New Roman" w:hAnsi="Times New Roman" w:cs="Times New Roman"/>
          <w:sz w:val="24"/>
          <w:szCs w:val="24"/>
          <w:lang w:val="en-US"/>
        </w:rPr>
        <w:t>, 2020) examine adjoining US counties with one area subject to lockdown and the other not; the drop in consumer activity in the latter area was 88% of the former, implying that o</w:t>
      </w:r>
      <w:r>
        <w:rPr>
          <w:rFonts w:ascii="Times New Roman" w:hAnsi="Times New Roman" w:cs="Times New Roman"/>
          <w:sz w:val="24"/>
          <w:szCs w:val="24"/>
          <w:lang w:val="en-US"/>
        </w:rPr>
        <w:t>nly 12% was due to the lockdown.  This evidence is compatible with the conclusion that the lockdown versus mitigation decision constituted at least 18% of the pandemic cost.</w:t>
      </w:r>
    </w:p>
    <w:p w:rsidR="00BC5160" w:rsidRDefault="00BC5160" w:rsidP="00CA6E45">
      <w:pPr>
        <w:spacing w:after="0" w:line="360" w:lineRule="auto"/>
        <w:jc w:val="both"/>
        <w:rPr>
          <w:rFonts w:ascii="Times New Roman" w:hAnsi="Times New Roman" w:cs="Times New Roman"/>
          <w:sz w:val="24"/>
          <w:szCs w:val="24"/>
          <w:lang w:val="en-US"/>
        </w:rPr>
      </w:pPr>
    </w:p>
    <w:p w:rsidR="00D144F1" w:rsidRPr="00D144F1" w:rsidRDefault="00DF71D1" w:rsidP="00CA6E45">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3.4</w:t>
      </w:r>
      <w:r w:rsidR="00D144F1">
        <w:rPr>
          <w:rFonts w:ascii="Times New Roman" w:hAnsi="Times New Roman" w:cs="Times New Roman"/>
          <w:i/>
          <w:sz w:val="24"/>
          <w:szCs w:val="24"/>
          <w:lang w:val="en-US"/>
        </w:rPr>
        <w:t xml:space="preserve"> </w:t>
      </w:r>
      <w:proofErr w:type="gramStart"/>
      <w:r w:rsidR="00D144F1">
        <w:rPr>
          <w:rFonts w:ascii="Times New Roman" w:hAnsi="Times New Roman" w:cs="Times New Roman"/>
          <w:i/>
          <w:sz w:val="24"/>
          <w:szCs w:val="24"/>
          <w:lang w:val="en-US"/>
        </w:rPr>
        <w:t>Cost</w:t>
      </w:r>
      <w:proofErr w:type="gramEnd"/>
      <w:r w:rsidR="00D144F1">
        <w:rPr>
          <w:rFonts w:ascii="Times New Roman" w:hAnsi="Times New Roman" w:cs="Times New Roman"/>
          <w:i/>
          <w:sz w:val="24"/>
          <w:szCs w:val="24"/>
          <w:lang w:val="en-US"/>
        </w:rPr>
        <w:t xml:space="preserve"> per QALY Saved</w:t>
      </w:r>
    </w:p>
    <w:p w:rsidR="00EF0ED7" w:rsidRDefault="00D60435" w:rsidP="001570F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summary, the QALYs saved by locking down </w:t>
      </w:r>
      <w:r w:rsidR="00A51AD0">
        <w:rPr>
          <w:rFonts w:ascii="Times New Roman" w:hAnsi="Times New Roman" w:cs="Times New Roman"/>
          <w:sz w:val="24"/>
          <w:szCs w:val="24"/>
          <w:lang w:val="en-US"/>
        </w:rPr>
        <w:t xml:space="preserve">rather than mitigating </w:t>
      </w:r>
      <w:r w:rsidR="002051C0">
        <w:rPr>
          <w:rFonts w:ascii="Times New Roman" w:hAnsi="Times New Roman" w:cs="Times New Roman"/>
          <w:sz w:val="24"/>
          <w:szCs w:val="24"/>
          <w:lang w:val="en-US"/>
        </w:rPr>
        <w:t>are</w:t>
      </w:r>
      <w:r w:rsidR="00385C10">
        <w:rPr>
          <w:rFonts w:ascii="Times New Roman" w:hAnsi="Times New Roman" w:cs="Times New Roman"/>
          <w:sz w:val="24"/>
          <w:szCs w:val="24"/>
          <w:lang w:val="en-US"/>
        </w:rPr>
        <w:t xml:space="preserve"> estimated at </w:t>
      </w:r>
      <w:r w:rsidR="00C54848">
        <w:rPr>
          <w:rFonts w:ascii="Times New Roman" w:hAnsi="Times New Roman" w:cs="Times New Roman"/>
          <w:sz w:val="24"/>
          <w:szCs w:val="24"/>
          <w:lang w:val="en-US"/>
        </w:rPr>
        <w:t>up to 6,240</w:t>
      </w:r>
      <w:r w:rsidR="00C54848" w:rsidRPr="00C54848">
        <w:rPr>
          <w:rFonts w:ascii="Times New Roman" w:hAnsi="Times New Roman" w:cs="Times New Roman"/>
          <w:i/>
          <w:sz w:val="24"/>
          <w:szCs w:val="24"/>
          <w:lang w:val="en-US"/>
        </w:rPr>
        <w:t>N</w:t>
      </w:r>
      <w:r w:rsidR="007E7E60">
        <w:rPr>
          <w:rFonts w:ascii="Times New Roman" w:hAnsi="Times New Roman" w:cs="Times New Roman"/>
          <w:sz w:val="24"/>
          <w:szCs w:val="24"/>
          <w:lang w:val="en-US"/>
        </w:rPr>
        <w:t xml:space="preserve"> </w:t>
      </w:r>
      <w:r w:rsidR="00385C10">
        <w:rPr>
          <w:rFonts w:ascii="Times New Roman" w:hAnsi="Times New Roman" w:cs="Times New Roman"/>
          <w:sz w:val="24"/>
          <w:szCs w:val="24"/>
          <w:lang w:val="en-US"/>
        </w:rPr>
        <w:t xml:space="preserve">whilst </w:t>
      </w:r>
      <w:r>
        <w:rPr>
          <w:rFonts w:ascii="Times New Roman" w:hAnsi="Times New Roman" w:cs="Times New Roman"/>
          <w:sz w:val="24"/>
          <w:szCs w:val="24"/>
          <w:lang w:val="en-US"/>
        </w:rPr>
        <w:t xml:space="preserve">the </w:t>
      </w:r>
      <w:r w:rsidR="009338D6">
        <w:rPr>
          <w:rFonts w:ascii="Times New Roman" w:hAnsi="Times New Roman" w:cs="Times New Roman"/>
          <w:sz w:val="24"/>
          <w:szCs w:val="24"/>
          <w:lang w:val="en-US"/>
        </w:rPr>
        <w:t xml:space="preserve">associated </w:t>
      </w:r>
      <w:r>
        <w:rPr>
          <w:rFonts w:ascii="Times New Roman" w:hAnsi="Times New Roman" w:cs="Times New Roman"/>
          <w:sz w:val="24"/>
          <w:szCs w:val="24"/>
          <w:lang w:val="en-US"/>
        </w:rPr>
        <w:t xml:space="preserve">GDP losses are expected to be </w:t>
      </w:r>
      <w:r w:rsidR="00C14044">
        <w:rPr>
          <w:rFonts w:ascii="Times New Roman" w:hAnsi="Times New Roman" w:cs="Times New Roman"/>
          <w:sz w:val="24"/>
          <w:szCs w:val="24"/>
          <w:lang w:val="en-US"/>
        </w:rPr>
        <w:t xml:space="preserve">at least </w:t>
      </w:r>
      <w:r w:rsidR="001C077F">
        <w:rPr>
          <w:rFonts w:ascii="Times New Roman" w:hAnsi="Times New Roman" w:cs="Times New Roman"/>
          <w:sz w:val="24"/>
          <w:szCs w:val="24"/>
          <w:lang w:val="en-US"/>
        </w:rPr>
        <w:t>$27</w:t>
      </w:r>
      <w:r w:rsidR="00EF0ED7">
        <w:rPr>
          <w:rFonts w:ascii="Times New Roman" w:hAnsi="Times New Roman" w:cs="Times New Roman"/>
          <w:sz w:val="24"/>
          <w:szCs w:val="24"/>
          <w:lang w:val="en-US"/>
        </w:rPr>
        <w:t>b</w:t>
      </w:r>
      <w:r>
        <w:rPr>
          <w:rFonts w:ascii="Times New Roman" w:hAnsi="Times New Roman" w:cs="Times New Roman"/>
          <w:sz w:val="24"/>
          <w:szCs w:val="24"/>
          <w:lang w:val="en-US"/>
        </w:rPr>
        <w:t>.</w:t>
      </w:r>
      <w:r w:rsidR="00C5718E">
        <w:rPr>
          <w:rFonts w:ascii="Times New Roman" w:hAnsi="Times New Roman" w:cs="Times New Roman"/>
          <w:sz w:val="24"/>
          <w:szCs w:val="24"/>
          <w:lang w:val="en-US"/>
        </w:rPr>
        <w:t xml:space="preserve">  </w:t>
      </w:r>
      <w:r w:rsidR="00C54848">
        <w:rPr>
          <w:rFonts w:ascii="Times New Roman" w:hAnsi="Times New Roman" w:cs="Times New Roman"/>
          <w:sz w:val="24"/>
          <w:szCs w:val="24"/>
          <w:lang w:val="en-US"/>
        </w:rPr>
        <w:t xml:space="preserve">If these GDP losses were the only cost of lockdowns, the </w:t>
      </w:r>
      <w:r w:rsidR="001570F3">
        <w:rPr>
          <w:rFonts w:ascii="Times New Roman" w:hAnsi="Times New Roman" w:cs="Times New Roman"/>
          <w:sz w:val="24"/>
          <w:szCs w:val="24"/>
          <w:lang w:val="en-US"/>
        </w:rPr>
        <w:t>co</w:t>
      </w:r>
      <w:r w:rsidR="00A74FF3">
        <w:rPr>
          <w:rFonts w:ascii="Times New Roman" w:hAnsi="Times New Roman" w:cs="Times New Roman"/>
          <w:sz w:val="24"/>
          <w:szCs w:val="24"/>
          <w:lang w:val="en-US"/>
        </w:rPr>
        <w:t>st p</w:t>
      </w:r>
      <w:r w:rsidR="00C851BC">
        <w:rPr>
          <w:rFonts w:ascii="Times New Roman" w:hAnsi="Times New Roman" w:cs="Times New Roman"/>
          <w:sz w:val="24"/>
          <w:szCs w:val="24"/>
          <w:lang w:val="en-US"/>
        </w:rPr>
        <w:t>e</w:t>
      </w:r>
      <w:r w:rsidR="00033833">
        <w:rPr>
          <w:rFonts w:ascii="Times New Roman" w:hAnsi="Times New Roman" w:cs="Times New Roman"/>
          <w:sz w:val="24"/>
          <w:szCs w:val="24"/>
          <w:lang w:val="en-US"/>
        </w:rPr>
        <w:t xml:space="preserve">r QALY saved </w:t>
      </w:r>
      <w:r w:rsidR="00783826">
        <w:rPr>
          <w:rFonts w:ascii="Times New Roman" w:hAnsi="Times New Roman" w:cs="Times New Roman"/>
          <w:sz w:val="24"/>
          <w:szCs w:val="24"/>
          <w:lang w:val="en-US"/>
        </w:rPr>
        <w:t xml:space="preserve">would then be </w:t>
      </w:r>
      <w:r w:rsidR="00C5535E">
        <w:rPr>
          <w:rFonts w:ascii="Times New Roman" w:hAnsi="Times New Roman" w:cs="Times New Roman"/>
          <w:sz w:val="24"/>
          <w:szCs w:val="24"/>
          <w:lang w:val="en-US"/>
        </w:rPr>
        <w:t>as follows:</w:t>
      </w:r>
    </w:p>
    <w:p w:rsidR="00C5535E" w:rsidRDefault="00C5535E" w:rsidP="001570F3">
      <w:pPr>
        <w:spacing w:after="0" w:line="360" w:lineRule="auto"/>
        <w:jc w:val="both"/>
        <w:rPr>
          <w:rFonts w:ascii="Times New Roman" w:hAnsi="Times New Roman" w:cs="Times New Roman"/>
          <w:sz w:val="24"/>
          <w:szCs w:val="24"/>
          <w:lang w:val="en-US"/>
        </w:rPr>
      </w:pPr>
    </w:p>
    <w:p w:rsidR="00742314" w:rsidRDefault="00113C0D" w:rsidP="001570F3">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 </m:t>
          </m:r>
          <m:f>
            <m:fPr>
              <m:ctrlPr>
                <w:rPr>
                  <w:rFonts w:ascii="Cambria Math" w:hAnsi="Cambria Math" w:cs="Times New Roman"/>
                  <w:i/>
                  <w:sz w:val="24"/>
                  <w:szCs w:val="24"/>
                  <w:lang w:val="en-US"/>
                </w:rPr>
              </m:ctrlPr>
            </m:fPr>
            <m:num>
              <m:r>
                <w:rPr>
                  <w:rFonts w:ascii="Cambria Math" w:hAnsi="Cambria Math" w:cs="Times New Roman"/>
                  <w:sz w:val="24"/>
                  <w:szCs w:val="24"/>
                  <w:lang w:val="en-US"/>
                </w:rPr>
                <m:t>$27b</m:t>
              </m:r>
            </m:num>
            <m:den>
              <m:r>
                <w:rPr>
                  <w:rFonts w:ascii="Cambria Math" w:hAnsi="Cambria Math" w:cs="Times New Roman"/>
                  <w:sz w:val="24"/>
                  <w:szCs w:val="24"/>
                  <w:lang w:val="en-US"/>
                </w:rPr>
                <m:t>6,240N</m:t>
              </m:r>
            </m:den>
          </m:f>
          <m:r>
            <w:rPr>
              <w:rFonts w:ascii="Cambria Math" w:hAnsi="Cambria Math" w:cs="Times New Roman"/>
              <w:sz w:val="24"/>
              <w:szCs w:val="24"/>
              <w:lang w:val="en-US"/>
            </w:rPr>
            <m:t xml:space="preserve">                                                              (3) </m:t>
          </m:r>
        </m:oMath>
      </m:oMathPara>
    </w:p>
    <w:p w:rsidR="00742314" w:rsidRDefault="00742314" w:rsidP="00113C0D">
      <w:pPr>
        <w:spacing w:after="0" w:line="360" w:lineRule="auto"/>
        <w:jc w:val="center"/>
        <w:rPr>
          <w:rFonts w:ascii="Times New Roman" w:hAnsi="Times New Roman" w:cs="Times New Roman"/>
          <w:sz w:val="24"/>
          <w:szCs w:val="24"/>
          <w:lang w:val="en-US"/>
        </w:rPr>
      </w:pPr>
    </w:p>
    <w:p w:rsidR="00C54848" w:rsidRDefault="006725B7" w:rsidP="007C109B">
      <w:pPr>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 xml:space="preserve">This is a lower bound on the cost per QALY saved because the QALYs saved of </w:t>
      </w:r>
      <w:r w:rsidR="00C54848">
        <w:rPr>
          <w:rFonts w:ascii="Times New Roman" w:hAnsi="Times New Roman" w:cs="Times New Roman"/>
          <w:color w:val="000000"/>
          <w:sz w:val="24"/>
          <w:szCs w:val="24"/>
        </w:rPr>
        <w:t>6,240</w:t>
      </w:r>
      <w:r w:rsidR="00C5535E" w:rsidRPr="00C5535E">
        <w:rPr>
          <w:rFonts w:ascii="Times New Roman" w:hAnsi="Times New Roman" w:cs="Times New Roman"/>
          <w:i/>
          <w:color w:val="000000"/>
          <w:sz w:val="24"/>
          <w:szCs w:val="24"/>
        </w:rPr>
        <w:t>N</w:t>
      </w:r>
      <w:r w:rsidR="00C81030">
        <w:rPr>
          <w:rFonts w:ascii="Times New Roman" w:hAnsi="Times New Roman" w:cs="Times New Roman"/>
          <w:color w:val="000000"/>
          <w:sz w:val="24"/>
          <w:szCs w:val="24"/>
        </w:rPr>
        <w:t xml:space="preserve"> are</w:t>
      </w:r>
      <w:r>
        <w:rPr>
          <w:rFonts w:ascii="Times New Roman" w:hAnsi="Times New Roman" w:cs="Times New Roman"/>
          <w:color w:val="000000"/>
          <w:sz w:val="24"/>
          <w:szCs w:val="24"/>
        </w:rPr>
        <w:t xml:space="preserve"> an upper bound</w:t>
      </w:r>
      <w:r w:rsidR="00345DD3">
        <w:rPr>
          <w:rFonts w:ascii="Times New Roman" w:hAnsi="Times New Roman" w:cs="Times New Roman"/>
          <w:color w:val="000000"/>
          <w:sz w:val="24"/>
          <w:szCs w:val="24"/>
        </w:rPr>
        <w:t xml:space="preserve"> and the expected GDP cost is a lower bound</w:t>
      </w:r>
      <w:r>
        <w:rPr>
          <w:rFonts w:ascii="Times New Roman" w:hAnsi="Times New Roman" w:cs="Times New Roman"/>
          <w:color w:val="000000"/>
          <w:sz w:val="24"/>
          <w:szCs w:val="24"/>
        </w:rPr>
        <w:t xml:space="preserve">.  </w:t>
      </w:r>
      <w:r w:rsidR="00C5535E">
        <w:rPr>
          <w:rFonts w:ascii="Times New Roman" w:hAnsi="Times New Roman" w:cs="Times New Roman"/>
          <w:color w:val="000000"/>
          <w:sz w:val="24"/>
          <w:szCs w:val="24"/>
        </w:rPr>
        <w:t xml:space="preserve">I now </w:t>
      </w:r>
      <w:r w:rsidR="0080638E">
        <w:rPr>
          <w:rFonts w:ascii="Times New Roman" w:hAnsi="Times New Roman" w:cs="Times New Roman"/>
          <w:sz w:val="24"/>
          <w:szCs w:val="24"/>
          <w:lang w:val="en-US"/>
        </w:rPr>
        <w:t xml:space="preserve">attempt to quantify all of the additional costs of mitigation, for which considerably better information has become available since March 25.  </w:t>
      </w:r>
    </w:p>
    <w:p w:rsidR="00C54848" w:rsidRDefault="00C54848" w:rsidP="007C109B">
      <w:pPr>
        <w:spacing w:after="0" w:line="360" w:lineRule="auto"/>
        <w:jc w:val="both"/>
        <w:rPr>
          <w:rFonts w:ascii="Times New Roman" w:hAnsi="Times New Roman" w:cs="Times New Roman"/>
          <w:sz w:val="24"/>
          <w:szCs w:val="24"/>
          <w:lang w:val="en-US"/>
        </w:rPr>
      </w:pPr>
    </w:p>
    <w:p w:rsidR="00E1685A" w:rsidRDefault="000071E2" w:rsidP="007C109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Firstly, there are </w:t>
      </w:r>
      <w:r w:rsidR="00A471E7">
        <w:rPr>
          <w:rFonts w:ascii="Times New Roman" w:hAnsi="Times New Roman" w:cs="Times New Roman"/>
          <w:sz w:val="24"/>
          <w:szCs w:val="24"/>
          <w:lang w:val="en-US"/>
        </w:rPr>
        <w:t xml:space="preserve">the medical costs of those requiring </w:t>
      </w:r>
      <w:r w:rsidR="00C003C8">
        <w:rPr>
          <w:rFonts w:ascii="Times New Roman" w:hAnsi="Times New Roman" w:cs="Times New Roman"/>
          <w:sz w:val="24"/>
          <w:szCs w:val="24"/>
          <w:lang w:val="en-US"/>
        </w:rPr>
        <w:t xml:space="preserve">short-term </w:t>
      </w:r>
      <w:r w:rsidR="00A471E7">
        <w:rPr>
          <w:rFonts w:ascii="Times New Roman" w:hAnsi="Times New Roman" w:cs="Times New Roman"/>
          <w:sz w:val="24"/>
          <w:szCs w:val="24"/>
          <w:lang w:val="en-US"/>
        </w:rPr>
        <w:t>hospitalization</w:t>
      </w:r>
      <w:r w:rsidR="00236626">
        <w:rPr>
          <w:rFonts w:ascii="Times New Roman" w:hAnsi="Times New Roman" w:cs="Times New Roman"/>
          <w:sz w:val="24"/>
          <w:szCs w:val="24"/>
          <w:lang w:val="en-US"/>
        </w:rPr>
        <w:t xml:space="preserve"> under a mitigation policy</w:t>
      </w:r>
      <w:r w:rsidR="00A471E7">
        <w:rPr>
          <w:rFonts w:ascii="Times New Roman" w:hAnsi="Times New Roman" w:cs="Times New Roman"/>
          <w:sz w:val="24"/>
          <w:szCs w:val="24"/>
          <w:lang w:val="en-US"/>
        </w:rPr>
        <w:t xml:space="preserve">.  </w:t>
      </w:r>
      <w:proofErr w:type="spellStart"/>
      <w:r w:rsidR="00A471E7">
        <w:rPr>
          <w:rFonts w:ascii="Times New Roman" w:hAnsi="Times New Roman" w:cs="Times New Roman"/>
          <w:sz w:val="24"/>
          <w:szCs w:val="24"/>
          <w:lang w:val="en-US"/>
        </w:rPr>
        <w:t>Gros</w:t>
      </w:r>
      <w:proofErr w:type="spellEnd"/>
      <w:r w:rsidR="00A471E7">
        <w:rPr>
          <w:rFonts w:ascii="Times New Roman" w:hAnsi="Times New Roman" w:cs="Times New Roman"/>
          <w:sz w:val="24"/>
          <w:szCs w:val="24"/>
          <w:lang w:val="en-US"/>
        </w:rPr>
        <w:t xml:space="preserve"> (2020, section 2.2) assumes that the entire population of a country becomes infected, </w:t>
      </w:r>
      <w:r w:rsidR="008D31E3">
        <w:rPr>
          <w:rFonts w:ascii="Times New Roman" w:hAnsi="Times New Roman" w:cs="Times New Roman"/>
          <w:sz w:val="24"/>
          <w:szCs w:val="24"/>
          <w:lang w:val="en-US"/>
        </w:rPr>
        <w:t xml:space="preserve">and estimates that </w:t>
      </w:r>
      <w:r w:rsidR="00A471E7">
        <w:rPr>
          <w:rFonts w:ascii="Times New Roman" w:hAnsi="Times New Roman" w:cs="Times New Roman"/>
          <w:sz w:val="24"/>
          <w:szCs w:val="24"/>
          <w:lang w:val="en-US"/>
        </w:rPr>
        <w:t xml:space="preserve">20% </w:t>
      </w:r>
      <w:r w:rsidR="008D31E3">
        <w:rPr>
          <w:rFonts w:ascii="Times New Roman" w:hAnsi="Times New Roman" w:cs="Times New Roman"/>
          <w:sz w:val="24"/>
          <w:szCs w:val="24"/>
          <w:lang w:val="en-US"/>
        </w:rPr>
        <w:t xml:space="preserve">would </w:t>
      </w:r>
      <w:r w:rsidR="00A471E7">
        <w:rPr>
          <w:rFonts w:ascii="Times New Roman" w:hAnsi="Times New Roman" w:cs="Times New Roman"/>
          <w:sz w:val="24"/>
          <w:szCs w:val="24"/>
          <w:lang w:val="en-US"/>
        </w:rPr>
        <w:t xml:space="preserve">require general hospital care at a cost per patient equal to 30% of GDP per capita, and ¼ of these </w:t>
      </w:r>
      <w:r w:rsidR="008D31E3">
        <w:rPr>
          <w:rFonts w:ascii="Times New Roman" w:hAnsi="Times New Roman" w:cs="Times New Roman"/>
          <w:sz w:val="24"/>
          <w:szCs w:val="24"/>
          <w:lang w:val="en-US"/>
        </w:rPr>
        <w:t xml:space="preserve">would </w:t>
      </w:r>
      <w:r w:rsidR="00A471E7">
        <w:rPr>
          <w:rFonts w:ascii="Times New Roman" w:hAnsi="Times New Roman" w:cs="Times New Roman"/>
          <w:sz w:val="24"/>
          <w:szCs w:val="24"/>
          <w:lang w:val="en-US"/>
        </w:rPr>
        <w:t xml:space="preserve">also require </w:t>
      </w:r>
      <w:r w:rsidR="00C81A7D">
        <w:rPr>
          <w:rFonts w:ascii="Times New Roman" w:hAnsi="Times New Roman" w:cs="Times New Roman"/>
          <w:sz w:val="24"/>
          <w:szCs w:val="24"/>
          <w:lang w:val="en-US"/>
        </w:rPr>
        <w:t xml:space="preserve">Intensive Care </w:t>
      </w:r>
      <w:r w:rsidR="00A471E7">
        <w:rPr>
          <w:rFonts w:ascii="Times New Roman" w:hAnsi="Times New Roman" w:cs="Times New Roman"/>
          <w:sz w:val="24"/>
          <w:szCs w:val="24"/>
          <w:lang w:val="en-US"/>
        </w:rPr>
        <w:t xml:space="preserve">treatment at a further cost </w:t>
      </w:r>
      <w:r w:rsidR="008D31E3">
        <w:rPr>
          <w:rFonts w:ascii="Times New Roman" w:hAnsi="Times New Roman" w:cs="Times New Roman"/>
          <w:sz w:val="24"/>
          <w:szCs w:val="24"/>
          <w:lang w:val="en-US"/>
        </w:rPr>
        <w:t xml:space="preserve">per patient </w:t>
      </w:r>
      <w:r w:rsidR="00A471E7">
        <w:rPr>
          <w:rFonts w:ascii="Times New Roman" w:hAnsi="Times New Roman" w:cs="Times New Roman"/>
          <w:sz w:val="24"/>
          <w:szCs w:val="24"/>
          <w:lang w:val="en-US"/>
        </w:rPr>
        <w:t>of 60% of per capita GDP, yielding a total cost equal to 9% of GDP.  However the assumption that everyone in a population would become infected is excessive</w:t>
      </w:r>
      <w:r w:rsidR="0026573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65737">
        <w:rPr>
          <w:rFonts w:ascii="Times New Roman" w:hAnsi="Times New Roman" w:cs="Times New Roman"/>
          <w:sz w:val="24"/>
          <w:szCs w:val="24"/>
          <w:lang w:val="en-US"/>
        </w:rPr>
        <w:t xml:space="preserve"> </w:t>
      </w:r>
      <w:r>
        <w:rPr>
          <w:rFonts w:ascii="Times New Roman" w:hAnsi="Times New Roman" w:cs="Times New Roman"/>
          <w:sz w:val="24"/>
          <w:szCs w:val="24"/>
          <w:lang w:val="en-US"/>
        </w:rPr>
        <w:t>Blakely et al (2020) estimate that the infection rate would not exceed 60%</w:t>
      </w:r>
      <w:r w:rsidR="00FB28B4">
        <w:rPr>
          <w:rFonts w:ascii="Times New Roman" w:hAnsi="Times New Roman" w:cs="Times New Roman"/>
          <w:sz w:val="24"/>
          <w:szCs w:val="24"/>
          <w:lang w:val="en-US"/>
        </w:rPr>
        <w:t xml:space="preserve"> </w:t>
      </w:r>
      <w:r>
        <w:rPr>
          <w:rFonts w:ascii="Times New Roman" w:hAnsi="Times New Roman" w:cs="Times New Roman"/>
          <w:sz w:val="24"/>
          <w:szCs w:val="24"/>
          <w:lang w:val="en-US"/>
        </w:rPr>
        <w:t>because the epidemic would by then peter out through herd immunity</w:t>
      </w:r>
      <w:r w:rsidR="003A40B4">
        <w:rPr>
          <w:rFonts w:ascii="Times New Roman" w:hAnsi="Times New Roman" w:cs="Times New Roman"/>
          <w:sz w:val="24"/>
          <w:szCs w:val="24"/>
          <w:lang w:val="en-US"/>
        </w:rPr>
        <w:t xml:space="preserve">, </w:t>
      </w:r>
      <w:r w:rsidR="00E2627D">
        <w:rPr>
          <w:rFonts w:ascii="Times New Roman" w:hAnsi="Times New Roman" w:cs="Times New Roman"/>
          <w:sz w:val="24"/>
          <w:szCs w:val="24"/>
          <w:lang w:val="en-US"/>
        </w:rPr>
        <w:t xml:space="preserve">Boyd (2020, page 3) adopts a base case of 40% based upon </w:t>
      </w:r>
      <w:r w:rsidR="00E1685A">
        <w:rPr>
          <w:rFonts w:ascii="Times New Roman" w:hAnsi="Times New Roman" w:cs="Times New Roman"/>
          <w:sz w:val="24"/>
          <w:szCs w:val="24"/>
          <w:lang w:val="en-US"/>
        </w:rPr>
        <w:t xml:space="preserve">the experience from </w:t>
      </w:r>
      <w:r w:rsidR="00E2627D">
        <w:rPr>
          <w:rFonts w:ascii="Times New Roman" w:hAnsi="Times New Roman" w:cs="Times New Roman"/>
          <w:sz w:val="24"/>
          <w:szCs w:val="24"/>
          <w:lang w:val="en-US"/>
        </w:rPr>
        <w:t xml:space="preserve">past pandemics, </w:t>
      </w:r>
      <w:r w:rsidR="00E1685A">
        <w:rPr>
          <w:rFonts w:ascii="Times New Roman" w:hAnsi="Times New Roman" w:cs="Times New Roman"/>
          <w:sz w:val="24"/>
          <w:szCs w:val="24"/>
          <w:lang w:val="en-US"/>
        </w:rPr>
        <w:t xml:space="preserve">and </w:t>
      </w:r>
      <w:proofErr w:type="spellStart"/>
      <w:r w:rsidR="003A40B4">
        <w:rPr>
          <w:rFonts w:ascii="Times New Roman" w:hAnsi="Times New Roman" w:cs="Times New Roman"/>
          <w:sz w:val="24"/>
          <w:szCs w:val="24"/>
          <w:lang w:val="en-US"/>
        </w:rPr>
        <w:t>Aguas</w:t>
      </w:r>
      <w:proofErr w:type="spellEnd"/>
      <w:r w:rsidR="003A40B4">
        <w:rPr>
          <w:rFonts w:ascii="Times New Roman" w:hAnsi="Times New Roman" w:cs="Times New Roman"/>
          <w:sz w:val="24"/>
          <w:szCs w:val="24"/>
          <w:lang w:val="en-US"/>
        </w:rPr>
        <w:t xml:space="preserve"> et al </w:t>
      </w:r>
      <w:r w:rsidR="003A40B4">
        <w:rPr>
          <w:rFonts w:ascii="Times New Roman" w:hAnsi="Times New Roman" w:cs="Times New Roman"/>
          <w:sz w:val="24"/>
          <w:szCs w:val="24"/>
          <w:lang w:val="en-US"/>
        </w:rPr>
        <w:lastRenderedPageBreak/>
        <w:t xml:space="preserve">(2020) estimate it </w:t>
      </w:r>
      <w:r w:rsidR="00E1685A">
        <w:rPr>
          <w:rFonts w:ascii="Times New Roman" w:hAnsi="Times New Roman" w:cs="Times New Roman"/>
          <w:sz w:val="24"/>
          <w:szCs w:val="24"/>
          <w:lang w:val="en-US"/>
        </w:rPr>
        <w:t>to be even lower</w:t>
      </w:r>
      <w:r>
        <w:rPr>
          <w:rFonts w:ascii="Times New Roman" w:hAnsi="Times New Roman" w:cs="Times New Roman"/>
          <w:sz w:val="24"/>
          <w:szCs w:val="24"/>
          <w:lang w:val="en-US"/>
        </w:rPr>
        <w:t>.</w:t>
      </w:r>
      <w:r w:rsidR="00697A56">
        <w:rPr>
          <w:rStyle w:val="FootnoteReference"/>
          <w:rFonts w:ascii="Times New Roman" w:hAnsi="Times New Roman" w:cs="Times New Roman"/>
          <w:sz w:val="24"/>
          <w:szCs w:val="24"/>
          <w:lang w:val="en-US"/>
        </w:rPr>
        <w:footnoteReference w:id="21"/>
      </w:r>
      <w:r>
        <w:rPr>
          <w:rFonts w:ascii="Times New Roman" w:hAnsi="Times New Roman" w:cs="Times New Roman"/>
          <w:sz w:val="24"/>
          <w:szCs w:val="24"/>
          <w:lang w:val="en-US"/>
        </w:rPr>
        <w:t xml:space="preserve">  </w:t>
      </w:r>
      <w:r w:rsidR="007369C0">
        <w:rPr>
          <w:rFonts w:ascii="Times New Roman" w:hAnsi="Times New Roman" w:cs="Times New Roman"/>
          <w:sz w:val="24"/>
          <w:szCs w:val="24"/>
          <w:lang w:val="en-US"/>
        </w:rPr>
        <w:t xml:space="preserve">Furthermore, </w:t>
      </w:r>
      <w:r w:rsidR="006B016A">
        <w:rPr>
          <w:rFonts w:ascii="Times New Roman" w:hAnsi="Times New Roman" w:cs="Times New Roman"/>
          <w:sz w:val="24"/>
          <w:szCs w:val="24"/>
          <w:lang w:val="en-US"/>
        </w:rPr>
        <w:t xml:space="preserve">even if </w:t>
      </w:r>
      <w:proofErr w:type="spellStart"/>
      <w:r w:rsidR="006B016A">
        <w:rPr>
          <w:rFonts w:ascii="Times New Roman" w:hAnsi="Times New Roman" w:cs="Times New Roman"/>
          <w:sz w:val="24"/>
          <w:szCs w:val="24"/>
          <w:lang w:val="en-US"/>
        </w:rPr>
        <w:t>Gros’</w:t>
      </w:r>
      <w:r w:rsidR="006567C6">
        <w:rPr>
          <w:rFonts w:ascii="Times New Roman" w:hAnsi="Times New Roman" w:cs="Times New Roman"/>
          <w:sz w:val="24"/>
          <w:szCs w:val="24"/>
          <w:lang w:val="en-US"/>
        </w:rPr>
        <w:t>s</w:t>
      </w:r>
      <w:proofErr w:type="spellEnd"/>
      <w:r w:rsidR="006567C6">
        <w:rPr>
          <w:rFonts w:ascii="Times New Roman" w:hAnsi="Times New Roman" w:cs="Times New Roman"/>
          <w:sz w:val="24"/>
          <w:szCs w:val="24"/>
          <w:lang w:val="en-US"/>
        </w:rPr>
        <w:t xml:space="preserve"> estimates of the proportion </w:t>
      </w:r>
      <w:r w:rsidR="00E1685A">
        <w:rPr>
          <w:rFonts w:ascii="Times New Roman" w:hAnsi="Times New Roman" w:cs="Times New Roman"/>
          <w:sz w:val="24"/>
          <w:szCs w:val="24"/>
          <w:lang w:val="en-US"/>
        </w:rPr>
        <w:t xml:space="preserve">infected </w:t>
      </w:r>
      <w:r w:rsidR="006567C6">
        <w:rPr>
          <w:rFonts w:ascii="Times New Roman" w:hAnsi="Times New Roman" w:cs="Times New Roman"/>
          <w:sz w:val="24"/>
          <w:szCs w:val="24"/>
          <w:lang w:val="en-US"/>
        </w:rPr>
        <w:t>requiring medical care were correct</w:t>
      </w:r>
      <w:r w:rsidR="007369C0">
        <w:rPr>
          <w:rFonts w:ascii="Times New Roman" w:hAnsi="Times New Roman" w:cs="Times New Roman"/>
          <w:sz w:val="24"/>
          <w:szCs w:val="24"/>
          <w:lang w:val="en-US"/>
        </w:rPr>
        <w:t xml:space="preserve">, </w:t>
      </w:r>
      <w:r w:rsidR="00411D12">
        <w:rPr>
          <w:rFonts w:ascii="Times New Roman" w:hAnsi="Times New Roman" w:cs="Times New Roman"/>
          <w:sz w:val="24"/>
          <w:szCs w:val="24"/>
          <w:lang w:val="en-US"/>
        </w:rPr>
        <w:t xml:space="preserve">this would </w:t>
      </w:r>
      <w:r w:rsidR="00C21FF9">
        <w:rPr>
          <w:rFonts w:ascii="Times New Roman" w:hAnsi="Times New Roman" w:cs="Times New Roman"/>
          <w:sz w:val="24"/>
          <w:szCs w:val="24"/>
          <w:lang w:val="en-US"/>
        </w:rPr>
        <w:t>(</w:t>
      </w:r>
      <w:r w:rsidR="00E1685A">
        <w:rPr>
          <w:rFonts w:ascii="Times New Roman" w:hAnsi="Times New Roman" w:cs="Times New Roman"/>
          <w:sz w:val="24"/>
          <w:szCs w:val="24"/>
          <w:lang w:val="en-US"/>
        </w:rPr>
        <w:t>even at a 40% infection rate</w:t>
      </w:r>
      <w:r w:rsidR="00C21FF9">
        <w:rPr>
          <w:rFonts w:ascii="Times New Roman" w:hAnsi="Times New Roman" w:cs="Times New Roman"/>
          <w:sz w:val="24"/>
          <w:szCs w:val="24"/>
          <w:lang w:val="en-US"/>
        </w:rPr>
        <w:t>)</w:t>
      </w:r>
      <w:r w:rsidR="00E1685A">
        <w:rPr>
          <w:rFonts w:ascii="Times New Roman" w:hAnsi="Times New Roman" w:cs="Times New Roman"/>
          <w:sz w:val="24"/>
          <w:szCs w:val="24"/>
          <w:lang w:val="en-US"/>
        </w:rPr>
        <w:t xml:space="preserve"> </w:t>
      </w:r>
      <w:r w:rsidR="00411D12">
        <w:rPr>
          <w:rFonts w:ascii="Times New Roman" w:hAnsi="Times New Roman" w:cs="Times New Roman"/>
          <w:sz w:val="24"/>
          <w:szCs w:val="24"/>
          <w:lang w:val="en-US"/>
        </w:rPr>
        <w:t>imply 4</w:t>
      </w:r>
      <w:r>
        <w:rPr>
          <w:rFonts w:ascii="Times New Roman" w:hAnsi="Times New Roman" w:cs="Times New Roman"/>
          <w:sz w:val="24"/>
          <w:szCs w:val="24"/>
          <w:lang w:val="en-US"/>
        </w:rPr>
        <w:t>00,000</w:t>
      </w:r>
      <w:r w:rsidR="007369C0">
        <w:rPr>
          <w:rFonts w:ascii="Times New Roman" w:hAnsi="Times New Roman" w:cs="Times New Roman"/>
          <w:sz w:val="24"/>
          <w:szCs w:val="24"/>
          <w:lang w:val="en-US"/>
        </w:rPr>
        <w:t xml:space="preserve"> New Zealanders</w:t>
      </w:r>
      <w:r w:rsidR="00411D12">
        <w:rPr>
          <w:rFonts w:ascii="Times New Roman" w:hAnsi="Times New Roman" w:cs="Times New Roman"/>
          <w:sz w:val="24"/>
          <w:szCs w:val="24"/>
          <w:lang w:val="en-US"/>
        </w:rPr>
        <w:t xml:space="preserve"> requiring hospitalization (8%</w:t>
      </w:r>
      <w:r w:rsidR="007369C0">
        <w:rPr>
          <w:rFonts w:ascii="Times New Roman" w:hAnsi="Times New Roman" w:cs="Times New Roman"/>
          <w:sz w:val="24"/>
          <w:szCs w:val="24"/>
          <w:lang w:val="en-US"/>
        </w:rPr>
        <w:t xml:space="preserve"> of its population), </w:t>
      </w:r>
      <w:r>
        <w:rPr>
          <w:rFonts w:ascii="Times New Roman" w:hAnsi="Times New Roman" w:cs="Times New Roman"/>
          <w:sz w:val="24"/>
          <w:szCs w:val="24"/>
          <w:lang w:val="en-US"/>
        </w:rPr>
        <w:t>and 1</w:t>
      </w:r>
      <w:r w:rsidR="00411D12">
        <w:rPr>
          <w:rFonts w:ascii="Times New Roman" w:hAnsi="Times New Roman" w:cs="Times New Roman"/>
          <w:sz w:val="24"/>
          <w:szCs w:val="24"/>
          <w:lang w:val="en-US"/>
        </w:rPr>
        <w:t>0</w:t>
      </w:r>
      <w:r w:rsidR="009D0C53">
        <w:rPr>
          <w:rFonts w:ascii="Times New Roman" w:hAnsi="Times New Roman" w:cs="Times New Roman"/>
          <w:sz w:val="24"/>
          <w:szCs w:val="24"/>
          <w:lang w:val="en-US"/>
        </w:rPr>
        <w:t xml:space="preserve">0,000 </w:t>
      </w:r>
      <w:r w:rsidR="003E1C25">
        <w:rPr>
          <w:rFonts w:ascii="Times New Roman" w:hAnsi="Times New Roman" w:cs="Times New Roman"/>
          <w:sz w:val="24"/>
          <w:szCs w:val="24"/>
          <w:lang w:val="en-US"/>
        </w:rPr>
        <w:t xml:space="preserve">of these </w:t>
      </w:r>
      <w:r>
        <w:rPr>
          <w:rFonts w:ascii="Times New Roman" w:hAnsi="Times New Roman" w:cs="Times New Roman"/>
          <w:sz w:val="24"/>
          <w:szCs w:val="24"/>
          <w:lang w:val="en-US"/>
        </w:rPr>
        <w:t>requiring</w:t>
      </w:r>
      <w:r w:rsidR="009D0C53">
        <w:rPr>
          <w:rFonts w:ascii="Times New Roman" w:hAnsi="Times New Roman" w:cs="Times New Roman"/>
          <w:sz w:val="24"/>
          <w:szCs w:val="24"/>
          <w:lang w:val="en-US"/>
        </w:rPr>
        <w:t xml:space="preserve"> an ICU</w:t>
      </w:r>
      <w:r>
        <w:rPr>
          <w:rFonts w:ascii="Times New Roman" w:hAnsi="Times New Roman" w:cs="Times New Roman"/>
          <w:sz w:val="24"/>
          <w:szCs w:val="24"/>
          <w:lang w:val="en-US"/>
        </w:rPr>
        <w:t xml:space="preserve">.  However, there </w:t>
      </w:r>
      <w:r w:rsidR="007369C0">
        <w:rPr>
          <w:rFonts w:ascii="Times New Roman" w:hAnsi="Times New Roman" w:cs="Times New Roman"/>
          <w:sz w:val="24"/>
          <w:szCs w:val="24"/>
          <w:lang w:val="en-US"/>
        </w:rPr>
        <w:t xml:space="preserve">would not be enough hospital beds </w:t>
      </w:r>
      <w:r w:rsidR="009D0C53">
        <w:rPr>
          <w:rFonts w:ascii="Times New Roman" w:hAnsi="Times New Roman" w:cs="Times New Roman"/>
          <w:sz w:val="24"/>
          <w:szCs w:val="24"/>
          <w:lang w:val="en-US"/>
        </w:rPr>
        <w:t xml:space="preserve">or ICUs </w:t>
      </w:r>
      <w:r w:rsidR="007369C0">
        <w:rPr>
          <w:rFonts w:ascii="Times New Roman" w:hAnsi="Times New Roman" w:cs="Times New Roman"/>
          <w:sz w:val="24"/>
          <w:szCs w:val="24"/>
          <w:lang w:val="en-US"/>
        </w:rPr>
        <w:t xml:space="preserve">in the country or medical staff to cater for </w:t>
      </w:r>
      <w:r w:rsidR="0077756F">
        <w:rPr>
          <w:rFonts w:ascii="Times New Roman" w:hAnsi="Times New Roman" w:cs="Times New Roman"/>
          <w:sz w:val="24"/>
          <w:szCs w:val="24"/>
          <w:lang w:val="en-US"/>
        </w:rPr>
        <w:t xml:space="preserve">even a fraction of </w:t>
      </w:r>
      <w:r w:rsidR="007369C0">
        <w:rPr>
          <w:rFonts w:ascii="Times New Roman" w:hAnsi="Times New Roman" w:cs="Times New Roman"/>
          <w:sz w:val="24"/>
          <w:szCs w:val="24"/>
          <w:lang w:val="en-US"/>
        </w:rPr>
        <w:t>them</w:t>
      </w:r>
      <w:r w:rsidR="00D40652">
        <w:rPr>
          <w:rFonts w:ascii="Times New Roman" w:hAnsi="Times New Roman" w:cs="Times New Roman"/>
          <w:sz w:val="24"/>
          <w:szCs w:val="24"/>
          <w:lang w:val="en-US"/>
        </w:rPr>
        <w:t xml:space="preserve">, as there are </w:t>
      </w:r>
      <w:r w:rsidR="00A460F8">
        <w:rPr>
          <w:rFonts w:ascii="Times New Roman" w:hAnsi="Times New Roman" w:cs="Times New Roman"/>
          <w:sz w:val="24"/>
          <w:szCs w:val="24"/>
          <w:lang w:val="en-US"/>
        </w:rPr>
        <w:t>only about 13</w:t>
      </w:r>
      <w:r w:rsidR="009D0C53">
        <w:rPr>
          <w:rFonts w:ascii="Times New Roman" w:hAnsi="Times New Roman" w:cs="Times New Roman"/>
          <w:sz w:val="24"/>
          <w:szCs w:val="24"/>
          <w:lang w:val="en-US"/>
        </w:rPr>
        <w:t>,000 hosp</w:t>
      </w:r>
      <w:r w:rsidR="00A460F8">
        <w:rPr>
          <w:rFonts w:ascii="Times New Roman" w:hAnsi="Times New Roman" w:cs="Times New Roman"/>
          <w:sz w:val="24"/>
          <w:szCs w:val="24"/>
          <w:lang w:val="en-US"/>
        </w:rPr>
        <w:t>ital beds in the country and 440</w:t>
      </w:r>
      <w:r w:rsidR="009D0C53">
        <w:rPr>
          <w:rFonts w:ascii="Times New Roman" w:hAnsi="Times New Roman" w:cs="Times New Roman"/>
          <w:sz w:val="24"/>
          <w:szCs w:val="24"/>
          <w:lang w:val="en-US"/>
        </w:rPr>
        <w:t xml:space="preserve"> ICU units</w:t>
      </w:r>
      <w:r w:rsidR="00A460F8">
        <w:rPr>
          <w:rFonts w:ascii="Times New Roman" w:hAnsi="Times New Roman" w:cs="Times New Roman"/>
          <w:sz w:val="24"/>
          <w:szCs w:val="24"/>
          <w:lang w:val="en-US"/>
        </w:rPr>
        <w:t xml:space="preserve"> (Wilson, 2020)</w:t>
      </w:r>
      <w:r w:rsidR="0076331C">
        <w:rPr>
          <w:rFonts w:ascii="Times New Roman" w:hAnsi="Times New Roman" w:cs="Times New Roman"/>
          <w:sz w:val="24"/>
          <w:szCs w:val="24"/>
          <w:lang w:val="en-US"/>
        </w:rPr>
        <w:t xml:space="preserve">.  </w:t>
      </w:r>
    </w:p>
    <w:p w:rsidR="00E1685A" w:rsidRDefault="00E1685A" w:rsidP="007C109B">
      <w:pPr>
        <w:spacing w:after="0" w:line="360" w:lineRule="auto"/>
        <w:jc w:val="both"/>
        <w:rPr>
          <w:rFonts w:ascii="Times New Roman" w:hAnsi="Times New Roman" w:cs="Times New Roman"/>
          <w:sz w:val="24"/>
          <w:szCs w:val="24"/>
          <w:lang w:val="en-US"/>
        </w:rPr>
      </w:pPr>
    </w:p>
    <w:p w:rsidR="004E494F" w:rsidRDefault="00D2450C" w:rsidP="007C109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By contrast, Wilson (2020) estimates hospitalized cases at 146,000 and ICU cases as 36,600 under a “worst-case scenario”</w:t>
      </w:r>
      <w:r w:rsidR="008A2CBD">
        <w:rPr>
          <w:rFonts w:ascii="Times New Roman" w:hAnsi="Times New Roman" w:cs="Times New Roman"/>
          <w:sz w:val="24"/>
          <w:szCs w:val="24"/>
          <w:lang w:val="en-US"/>
        </w:rPr>
        <w:t xml:space="preserve"> of 27,6</w:t>
      </w:r>
      <w:r>
        <w:rPr>
          <w:rFonts w:ascii="Times New Roman" w:hAnsi="Times New Roman" w:cs="Times New Roman"/>
          <w:sz w:val="24"/>
          <w:szCs w:val="24"/>
          <w:lang w:val="en-US"/>
        </w:rPr>
        <w:t xml:space="preserve">00 dead.  </w:t>
      </w:r>
      <w:r w:rsidR="003A40B4">
        <w:rPr>
          <w:rFonts w:ascii="Times New Roman" w:hAnsi="Times New Roman" w:cs="Times New Roman"/>
          <w:sz w:val="24"/>
          <w:szCs w:val="24"/>
          <w:lang w:val="en-US"/>
        </w:rPr>
        <w:t>Since my upper bound on the number of dead un</w:t>
      </w:r>
      <w:r w:rsidR="003C4781">
        <w:rPr>
          <w:rFonts w:ascii="Times New Roman" w:hAnsi="Times New Roman" w:cs="Times New Roman"/>
          <w:sz w:val="24"/>
          <w:szCs w:val="24"/>
          <w:lang w:val="en-US"/>
        </w:rPr>
        <w:t>der a mitigation p</w:t>
      </w:r>
      <w:r w:rsidR="00FC6B9F">
        <w:rPr>
          <w:rFonts w:ascii="Times New Roman" w:hAnsi="Times New Roman" w:cs="Times New Roman"/>
          <w:sz w:val="24"/>
          <w:szCs w:val="24"/>
          <w:lang w:val="en-US"/>
        </w:rPr>
        <w:t>olicy is 1,5</w:t>
      </w:r>
      <w:r w:rsidR="00CC1BB8">
        <w:rPr>
          <w:rFonts w:ascii="Times New Roman" w:hAnsi="Times New Roman" w:cs="Times New Roman"/>
          <w:sz w:val="24"/>
          <w:szCs w:val="24"/>
          <w:lang w:val="en-US"/>
        </w:rPr>
        <w:t>6</w:t>
      </w:r>
      <w:r w:rsidR="00400906">
        <w:rPr>
          <w:rFonts w:ascii="Times New Roman" w:hAnsi="Times New Roman" w:cs="Times New Roman"/>
          <w:sz w:val="24"/>
          <w:szCs w:val="24"/>
          <w:lang w:val="en-US"/>
        </w:rPr>
        <w:t>0</w:t>
      </w:r>
      <w:r w:rsidR="00C5535E" w:rsidRPr="00C5535E">
        <w:rPr>
          <w:rFonts w:ascii="Times New Roman" w:hAnsi="Times New Roman" w:cs="Times New Roman"/>
          <w:i/>
          <w:sz w:val="24"/>
          <w:szCs w:val="24"/>
          <w:lang w:val="en-US"/>
        </w:rPr>
        <w:t>N</w:t>
      </w:r>
      <w:r w:rsidR="003A40B4">
        <w:rPr>
          <w:rFonts w:ascii="Times New Roman" w:hAnsi="Times New Roman" w:cs="Times New Roman"/>
          <w:sz w:val="24"/>
          <w:szCs w:val="24"/>
          <w:lang w:val="en-US"/>
        </w:rPr>
        <w:t xml:space="preserve">, this implies </w:t>
      </w:r>
      <w:r w:rsidR="007B2E79">
        <w:rPr>
          <w:rFonts w:ascii="Times New Roman" w:hAnsi="Times New Roman" w:cs="Times New Roman"/>
          <w:sz w:val="24"/>
          <w:szCs w:val="24"/>
          <w:lang w:val="en-US"/>
        </w:rPr>
        <w:t>8</w:t>
      </w:r>
      <w:r w:rsidR="00400906">
        <w:rPr>
          <w:rFonts w:ascii="Times New Roman" w:hAnsi="Times New Roman" w:cs="Times New Roman"/>
          <w:sz w:val="24"/>
          <w:szCs w:val="24"/>
          <w:lang w:val="en-US"/>
        </w:rPr>
        <w:t>,0</w:t>
      </w:r>
      <w:r w:rsidR="003C4781">
        <w:rPr>
          <w:rFonts w:ascii="Times New Roman" w:hAnsi="Times New Roman" w:cs="Times New Roman"/>
          <w:sz w:val="24"/>
          <w:szCs w:val="24"/>
          <w:lang w:val="en-US"/>
        </w:rPr>
        <w:t>00</w:t>
      </w:r>
      <w:r w:rsidR="00C5535E" w:rsidRPr="00C5535E">
        <w:rPr>
          <w:rFonts w:ascii="Times New Roman" w:hAnsi="Times New Roman" w:cs="Times New Roman"/>
          <w:i/>
          <w:sz w:val="24"/>
          <w:szCs w:val="24"/>
          <w:lang w:val="en-US"/>
        </w:rPr>
        <w:t>N</w:t>
      </w:r>
      <w:r w:rsidR="003A40B4">
        <w:rPr>
          <w:rFonts w:ascii="Times New Roman" w:hAnsi="Times New Roman" w:cs="Times New Roman"/>
          <w:sz w:val="24"/>
          <w:szCs w:val="24"/>
          <w:lang w:val="en-US"/>
        </w:rPr>
        <w:t xml:space="preserve"> </w:t>
      </w:r>
      <w:proofErr w:type="spellStart"/>
      <w:r w:rsidR="003A40B4">
        <w:rPr>
          <w:rFonts w:ascii="Times New Roman" w:hAnsi="Times New Roman" w:cs="Times New Roman"/>
          <w:sz w:val="24"/>
          <w:szCs w:val="24"/>
          <w:lang w:val="en-US"/>
        </w:rPr>
        <w:t>hospitalised</w:t>
      </w:r>
      <w:proofErr w:type="spellEnd"/>
      <w:r w:rsidR="003A40B4">
        <w:rPr>
          <w:rFonts w:ascii="Times New Roman" w:hAnsi="Times New Roman" w:cs="Times New Roman"/>
          <w:sz w:val="24"/>
          <w:szCs w:val="24"/>
          <w:lang w:val="en-US"/>
        </w:rPr>
        <w:t xml:space="preserve"> cases </w:t>
      </w:r>
      <w:r w:rsidR="004F7C54">
        <w:rPr>
          <w:rFonts w:ascii="Times New Roman" w:hAnsi="Times New Roman" w:cs="Times New Roman"/>
          <w:sz w:val="24"/>
          <w:szCs w:val="24"/>
          <w:lang w:val="en-US"/>
        </w:rPr>
        <w:t xml:space="preserve">and </w:t>
      </w:r>
      <w:r w:rsidR="007B2E79">
        <w:rPr>
          <w:rFonts w:ascii="Times New Roman" w:hAnsi="Times New Roman" w:cs="Times New Roman"/>
          <w:sz w:val="24"/>
          <w:szCs w:val="24"/>
          <w:lang w:val="en-US"/>
        </w:rPr>
        <w:t>2,0</w:t>
      </w:r>
      <w:r w:rsidR="003C4781">
        <w:rPr>
          <w:rFonts w:ascii="Times New Roman" w:hAnsi="Times New Roman" w:cs="Times New Roman"/>
          <w:sz w:val="24"/>
          <w:szCs w:val="24"/>
          <w:lang w:val="en-US"/>
        </w:rPr>
        <w:t>00</w:t>
      </w:r>
      <w:r w:rsidR="00C5535E" w:rsidRPr="00C5535E">
        <w:rPr>
          <w:rFonts w:ascii="Times New Roman" w:hAnsi="Times New Roman" w:cs="Times New Roman"/>
          <w:i/>
          <w:sz w:val="24"/>
          <w:szCs w:val="24"/>
          <w:lang w:val="en-US"/>
        </w:rPr>
        <w:t>N</w:t>
      </w:r>
      <w:r w:rsidR="003A40B4">
        <w:rPr>
          <w:rFonts w:ascii="Times New Roman" w:hAnsi="Times New Roman" w:cs="Times New Roman"/>
          <w:sz w:val="24"/>
          <w:szCs w:val="24"/>
          <w:lang w:val="en-US"/>
        </w:rPr>
        <w:t xml:space="preserve"> ICU</w:t>
      </w:r>
      <w:r w:rsidR="004F7C54">
        <w:rPr>
          <w:rFonts w:ascii="Times New Roman" w:hAnsi="Times New Roman" w:cs="Times New Roman"/>
          <w:sz w:val="24"/>
          <w:szCs w:val="24"/>
          <w:lang w:val="en-US"/>
        </w:rPr>
        <w:t xml:space="preserve"> cases</w:t>
      </w:r>
      <w:r w:rsidR="00651FC7">
        <w:rPr>
          <w:rFonts w:ascii="Times New Roman" w:hAnsi="Times New Roman" w:cs="Times New Roman"/>
          <w:sz w:val="24"/>
          <w:szCs w:val="24"/>
          <w:lang w:val="en-US"/>
        </w:rPr>
        <w:t xml:space="preserve">.  </w:t>
      </w:r>
      <w:r w:rsidR="00615890">
        <w:rPr>
          <w:rFonts w:ascii="Times New Roman" w:hAnsi="Times New Roman" w:cs="Times New Roman"/>
          <w:sz w:val="24"/>
          <w:szCs w:val="24"/>
          <w:lang w:val="en-US"/>
        </w:rPr>
        <w:t xml:space="preserve">I </w:t>
      </w:r>
      <w:r w:rsidR="00411D12">
        <w:rPr>
          <w:rFonts w:ascii="Times New Roman" w:hAnsi="Times New Roman" w:cs="Times New Roman"/>
          <w:sz w:val="24"/>
          <w:szCs w:val="24"/>
          <w:lang w:val="en-US"/>
        </w:rPr>
        <w:t xml:space="preserve">assume (again to be conservative) that </w:t>
      </w:r>
      <w:r w:rsidR="008947BF">
        <w:rPr>
          <w:rFonts w:ascii="Times New Roman" w:hAnsi="Times New Roman" w:cs="Times New Roman"/>
          <w:sz w:val="24"/>
          <w:szCs w:val="24"/>
          <w:lang w:val="en-US"/>
        </w:rPr>
        <w:t xml:space="preserve">the New Zealand </w:t>
      </w:r>
      <w:r w:rsidR="00411D12">
        <w:rPr>
          <w:rFonts w:ascii="Times New Roman" w:hAnsi="Times New Roman" w:cs="Times New Roman"/>
          <w:sz w:val="24"/>
          <w:szCs w:val="24"/>
          <w:lang w:val="en-US"/>
        </w:rPr>
        <w:t xml:space="preserve">hospital system could accommodate </w:t>
      </w:r>
      <w:r w:rsidR="007E6608">
        <w:rPr>
          <w:rFonts w:ascii="Times New Roman" w:hAnsi="Times New Roman" w:cs="Times New Roman"/>
          <w:sz w:val="24"/>
          <w:szCs w:val="24"/>
          <w:lang w:val="en-US"/>
        </w:rPr>
        <w:t xml:space="preserve">all of </w:t>
      </w:r>
      <w:r w:rsidR="00411D12">
        <w:rPr>
          <w:rFonts w:ascii="Times New Roman" w:hAnsi="Times New Roman" w:cs="Times New Roman"/>
          <w:sz w:val="24"/>
          <w:szCs w:val="24"/>
          <w:lang w:val="en-US"/>
        </w:rPr>
        <w:t>them</w:t>
      </w:r>
      <w:r w:rsidR="00292096">
        <w:rPr>
          <w:rFonts w:ascii="Times New Roman" w:hAnsi="Times New Roman" w:cs="Times New Roman"/>
          <w:sz w:val="24"/>
          <w:szCs w:val="24"/>
          <w:lang w:val="en-US"/>
        </w:rPr>
        <w:t>.</w:t>
      </w:r>
      <w:r w:rsidR="00615890">
        <w:rPr>
          <w:rFonts w:ascii="Times New Roman" w:hAnsi="Times New Roman" w:cs="Times New Roman"/>
          <w:sz w:val="24"/>
          <w:szCs w:val="24"/>
          <w:lang w:val="en-US"/>
        </w:rPr>
        <w:t xml:space="preserve">  </w:t>
      </w:r>
      <w:r w:rsidR="0076331C">
        <w:rPr>
          <w:rFonts w:ascii="Times New Roman" w:hAnsi="Times New Roman" w:cs="Times New Roman"/>
          <w:sz w:val="24"/>
          <w:szCs w:val="24"/>
          <w:lang w:val="en-US"/>
        </w:rPr>
        <w:t xml:space="preserve">Furthermore, </w:t>
      </w:r>
      <w:r w:rsidR="00E235DB">
        <w:rPr>
          <w:rFonts w:ascii="Times New Roman" w:hAnsi="Times New Roman" w:cs="Times New Roman"/>
          <w:sz w:val="24"/>
          <w:szCs w:val="24"/>
          <w:lang w:val="en-US"/>
        </w:rPr>
        <w:t xml:space="preserve">whatever number of cases were </w:t>
      </w:r>
      <w:r w:rsidR="00651FC7">
        <w:rPr>
          <w:rFonts w:ascii="Times New Roman" w:hAnsi="Times New Roman" w:cs="Times New Roman"/>
          <w:sz w:val="24"/>
          <w:szCs w:val="24"/>
          <w:lang w:val="en-US"/>
        </w:rPr>
        <w:t xml:space="preserve">accommodated, </w:t>
      </w:r>
      <w:r w:rsidR="0076331C">
        <w:rPr>
          <w:rFonts w:ascii="Times New Roman" w:hAnsi="Times New Roman" w:cs="Times New Roman"/>
          <w:sz w:val="24"/>
          <w:szCs w:val="24"/>
          <w:lang w:val="en-US"/>
        </w:rPr>
        <w:t xml:space="preserve">they would </w:t>
      </w:r>
      <w:r w:rsidR="00CA2C4E">
        <w:rPr>
          <w:rFonts w:ascii="Times New Roman" w:hAnsi="Times New Roman" w:cs="Times New Roman"/>
          <w:sz w:val="24"/>
          <w:szCs w:val="24"/>
          <w:lang w:val="en-US"/>
        </w:rPr>
        <w:t xml:space="preserve">be to a large degree </w:t>
      </w:r>
      <w:r w:rsidR="008D32D0">
        <w:rPr>
          <w:rFonts w:ascii="Times New Roman" w:hAnsi="Times New Roman" w:cs="Times New Roman"/>
          <w:sz w:val="24"/>
          <w:szCs w:val="24"/>
          <w:lang w:val="en-US"/>
        </w:rPr>
        <w:t xml:space="preserve">permanently </w:t>
      </w:r>
      <w:r w:rsidR="0076331C">
        <w:rPr>
          <w:rFonts w:ascii="Times New Roman" w:hAnsi="Times New Roman" w:cs="Times New Roman"/>
          <w:sz w:val="24"/>
          <w:szCs w:val="24"/>
          <w:lang w:val="en-US"/>
        </w:rPr>
        <w:t>displacing other types of patients</w:t>
      </w:r>
      <w:r w:rsidR="00DB3280">
        <w:rPr>
          <w:rFonts w:ascii="Times New Roman" w:hAnsi="Times New Roman" w:cs="Times New Roman"/>
          <w:sz w:val="24"/>
          <w:szCs w:val="24"/>
          <w:lang w:val="en-US"/>
        </w:rPr>
        <w:t xml:space="preserve"> so </w:t>
      </w:r>
      <w:r w:rsidR="0076331C">
        <w:rPr>
          <w:rFonts w:ascii="Times New Roman" w:hAnsi="Times New Roman" w:cs="Times New Roman"/>
          <w:sz w:val="24"/>
          <w:szCs w:val="24"/>
          <w:lang w:val="en-US"/>
        </w:rPr>
        <w:t xml:space="preserve">the incremental </w:t>
      </w:r>
      <w:r w:rsidR="00CA2C4E">
        <w:rPr>
          <w:rFonts w:ascii="Times New Roman" w:hAnsi="Times New Roman" w:cs="Times New Roman"/>
          <w:sz w:val="24"/>
          <w:szCs w:val="24"/>
          <w:lang w:val="en-US"/>
        </w:rPr>
        <w:t>costs would be even less</w:t>
      </w:r>
      <w:r w:rsidR="0076331C">
        <w:rPr>
          <w:rFonts w:ascii="Times New Roman" w:hAnsi="Times New Roman" w:cs="Times New Roman"/>
          <w:sz w:val="24"/>
          <w:szCs w:val="24"/>
          <w:lang w:val="en-US"/>
        </w:rPr>
        <w:t>.</w:t>
      </w:r>
      <w:r w:rsidR="00177662">
        <w:rPr>
          <w:rStyle w:val="FootnoteReference"/>
          <w:rFonts w:ascii="Times New Roman" w:hAnsi="Times New Roman" w:cs="Times New Roman"/>
          <w:sz w:val="24"/>
          <w:szCs w:val="24"/>
          <w:lang w:val="en-US"/>
        </w:rPr>
        <w:footnoteReference w:id="22"/>
      </w:r>
      <w:r w:rsidR="0076331C">
        <w:rPr>
          <w:rFonts w:ascii="Times New Roman" w:hAnsi="Times New Roman" w:cs="Times New Roman"/>
          <w:sz w:val="24"/>
          <w:szCs w:val="24"/>
          <w:lang w:val="en-US"/>
        </w:rPr>
        <w:t xml:space="preserve">  </w:t>
      </w:r>
      <w:r w:rsidR="009835C2">
        <w:rPr>
          <w:rFonts w:ascii="Times New Roman" w:hAnsi="Times New Roman" w:cs="Times New Roman"/>
          <w:sz w:val="24"/>
          <w:szCs w:val="24"/>
          <w:lang w:val="en-US"/>
        </w:rPr>
        <w:t>Even without displacement, most of these costs would be fixed (staff, buildings, and equipment)</w:t>
      </w:r>
      <w:r w:rsidR="00595334">
        <w:rPr>
          <w:rFonts w:ascii="Times New Roman" w:hAnsi="Times New Roman" w:cs="Times New Roman"/>
          <w:sz w:val="24"/>
          <w:szCs w:val="24"/>
          <w:lang w:val="en-US"/>
        </w:rPr>
        <w:t xml:space="preserve"> and therefore irrelevant</w:t>
      </w:r>
      <w:r w:rsidR="009835C2">
        <w:rPr>
          <w:rFonts w:ascii="Times New Roman" w:hAnsi="Times New Roman" w:cs="Times New Roman"/>
          <w:sz w:val="24"/>
          <w:szCs w:val="24"/>
          <w:lang w:val="en-US"/>
        </w:rPr>
        <w:t xml:space="preserve">.  </w:t>
      </w:r>
      <w:r w:rsidR="00615890">
        <w:rPr>
          <w:rFonts w:ascii="Times New Roman" w:hAnsi="Times New Roman" w:cs="Times New Roman"/>
          <w:sz w:val="24"/>
          <w:szCs w:val="24"/>
          <w:lang w:val="en-US"/>
        </w:rPr>
        <w:t>In the interests of being conservative, I assume no displacement of other types of patients</w:t>
      </w:r>
      <w:r w:rsidR="009835C2">
        <w:rPr>
          <w:rFonts w:ascii="Times New Roman" w:hAnsi="Times New Roman" w:cs="Times New Roman"/>
          <w:sz w:val="24"/>
          <w:szCs w:val="24"/>
          <w:lang w:val="en-US"/>
        </w:rPr>
        <w:t xml:space="preserve"> and all costs being variable</w:t>
      </w:r>
      <w:r w:rsidR="00615890">
        <w:rPr>
          <w:rFonts w:ascii="Times New Roman" w:hAnsi="Times New Roman" w:cs="Times New Roman"/>
          <w:sz w:val="24"/>
          <w:szCs w:val="24"/>
          <w:lang w:val="en-US"/>
        </w:rPr>
        <w:t xml:space="preserve">.  </w:t>
      </w:r>
      <w:r w:rsidR="007A65D9">
        <w:rPr>
          <w:rFonts w:ascii="Times New Roman" w:hAnsi="Times New Roman" w:cs="Times New Roman"/>
          <w:sz w:val="24"/>
          <w:szCs w:val="24"/>
          <w:lang w:val="en-US"/>
        </w:rPr>
        <w:t xml:space="preserve">With </w:t>
      </w:r>
      <w:r w:rsidR="00236626">
        <w:rPr>
          <w:rFonts w:ascii="Times New Roman" w:hAnsi="Times New Roman" w:cs="Times New Roman"/>
          <w:sz w:val="24"/>
          <w:szCs w:val="24"/>
          <w:lang w:val="en-US"/>
        </w:rPr>
        <w:t>New Zealand</w:t>
      </w:r>
      <w:r w:rsidR="00D40652">
        <w:rPr>
          <w:rFonts w:ascii="Times New Roman" w:hAnsi="Times New Roman" w:cs="Times New Roman"/>
          <w:sz w:val="24"/>
          <w:szCs w:val="24"/>
          <w:lang w:val="en-US"/>
        </w:rPr>
        <w:t>’s</w:t>
      </w:r>
      <w:r w:rsidR="00236626">
        <w:rPr>
          <w:rFonts w:ascii="Times New Roman" w:hAnsi="Times New Roman" w:cs="Times New Roman"/>
          <w:sz w:val="24"/>
          <w:szCs w:val="24"/>
          <w:lang w:val="en-US"/>
        </w:rPr>
        <w:t xml:space="preserve"> </w:t>
      </w:r>
      <w:r w:rsidR="00C003C8">
        <w:rPr>
          <w:rFonts w:ascii="Times New Roman" w:hAnsi="Times New Roman" w:cs="Times New Roman"/>
          <w:sz w:val="24"/>
          <w:szCs w:val="24"/>
          <w:lang w:val="en-US"/>
        </w:rPr>
        <w:t>GDP per capita of $62,000</w:t>
      </w:r>
      <w:r w:rsidR="00D40652">
        <w:rPr>
          <w:rFonts w:ascii="Times New Roman" w:hAnsi="Times New Roman" w:cs="Times New Roman"/>
          <w:sz w:val="24"/>
          <w:szCs w:val="24"/>
          <w:lang w:val="en-US"/>
        </w:rPr>
        <w:t>,</w:t>
      </w:r>
      <w:r w:rsidR="00C003C8">
        <w:rPr>
          <w:rFonts w:ascii="Times New Roman" w:hAnsi="Times New Roman" w:cs="Times New Roman"/>
          <w:sz w:val="24"/>
          <w:szCs w:val="24"/>
          <w:lang w:val="en-US"/>
        </w:rPr>
        <w:t xml:space="preserve"> the </w:t>
      </w:r>
      <w:r w:rsidR="00234440">
        <w:rPr>
          <w:rFonts w:ascii="Times New Roman" w:hAnsi="Times New Roman" w:cs="Times New Roman"/>
          <w:sz w:val="24"/>
          <w:szCs w:val="24"/>
          <w:lang w:val="en-US"/>
        </w:rPr>
        <w:t xml:space="preserve">upper bound on the </w:t>
      </w:r>
      <w:r w:rsidR="00C003C8">
        <w:rPr>
          <w:rFonts w:ascii="Times New Roman" w:hAnsi="Times New Roman" w:cs="Times New Roman"/>
          <w:sz w:val="24"/>
          <w:szCs w:val="24"/>
          <w:lang w:val="en-US"/>
        </w:rPr>
        <w:t xml:space="preserve">resulting </w:t>
      </w:r>
      <w:r w:rsidR="00585B9E">
        <w:rPr>
          <w:rFonts w:ascii="Times New Roman" w:hAnsi="Times New Roman" w:cs="Times New Roman"/>
          <w:sz w:val="24"/>
          <w:szCs w:val="24"/>
          <w:lang w:val="en-US"/>
        </w:rPr>
        <w:t xml:space="preserve">incremental </w:t>
      </w:r>
      <w:r w:rsidR="005A5E53">
        <w:rPr>
          <w:rFonts w:ascii="Times New Roman" w:hAnsi="Times New Roman" w:cs="Times New Roman"/>
          <w:sz w:val="24"/>
          <w:szCs w:val="24"/>
          <w:lang w:val="en-US"/>
        </w:rPr>
        <w:t>costs would be $0.2</w:t>
      </w:r>
      <w:r w:rsidR="009815CF">
        <w:rPr>
          <w:rFonts w:ascii="Times New Roman" w:hAnsi="Times New Roman" w:cs="Times New Roman"/>
          <w:sz w:val="24"/>
          <w:szCs w:val="24"/>
          <w:lang w:val="en-US"/>
        </w:rPr>
        <w:t>b</w:t>
      </w:r>
      <w:r w:rsidR="00C5535E" w:rsidRPr="00C5535E">
        <w:rPr>
          <w:rFonts w:ascii="Times New Roman" w:hAnsi="Times New Roman" w:cs="Times New Roman"/>
          <w:i/>
          <w:sz w:val="24"/>
          <w:szCs w:val="24"/>
          <w:lang w:val="en-US"/>
        </w:rPr>
        <w:t>N</w:t>
      </w:r>
      <w:r w:rsidR="009815CF">
        <w:rPr>
          <w:rFonts w:ascii="Times New Roman" w:hAnsi="Times New Roman" w:cs="Times New Roman"/>
          <w:sz w:val="24"/>
          <w:szCs w:val="24"/>
          <w:lang w:val="en-US"/>
        </w:rPr>
        <w:t xml:space="preserve"> as follows:</w:t>
      </w:r>
    </w:p>
    <w:p w:rsidR="009815CF" w:rsidRDefault="009815CF" w:rsidP="007C109B">
      <w:pPr>
        <w:spacing w:after="0" w:line="360" w:lineRule="auto"/>
        <w:jc w:val="both"/>
        <w:rPr>
          <w:rFonts w:ascii="Times New Roman" w:hAnsi="Times New Roman" w:cs="Times New Roman"/>
          <w:sz w:val="24"/>
          <w:szCs w:val="24"/>
          <w:lang w:val="en-US"/>
        </w:rPr>
      </w:pPr>
    </w:p>
    <w:p w:rsidR="00C003C8" w:rsidRDefault="00EF276F" w:rsidP="007C109B">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62,000</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8,000N(0.3)+2,000N</m:t>
              </m:r>
              <m:d>
                <m:dPr>
                  <m:ctrlPr>
                    <w:rPr>
                      <w:rFonts w:ascii="Cambria Math" w:hAnsi="Cambria Math" w:cs="Times New Roman"/>
                      <w:i/>
                      <w:sz w:val="24"/>
                      <w:szCs w:val="24"/>
                      <w:lang w:val="en-US"/>
                    </w:rPr>
                  </m:ctrlPr>
                </m:dPr>
                <m:e>
                  <m:r>
                    <w:rPr>
                      <w:rFonts w:ascii="Cambria Math" w:hAnsi="Cambria Math" w:cs="Times New Roman"/>
                      <w:sz w:val="24"/>
                      <w:szCs w:val="24"/>
                      <w:lang w:val="en-US"/>
                    </w:rPr>
                    <m:t>0.6</m:t>
                  </m:r>
                </m:e>
              </m:d>
            </m:e>
          </m:d>
          <m:r>
            <w:rPr>
              <w:rFonts w:ascii="Cambria Math" w:hAnsi="Cambria Math" w:cs="Times New Roman"/>
              <w:sz w:val="24"/>
              <w:szCs w:val="24"/>
              <w:lang w:val="en-US"/>
            </w:rPr>
            <m:t>=$0.2b</m:t>
          </m:r>
          <m:r>
            <w:rPr>
              <w:rFonts w:ascii="Cambria Math" w:eastAsiaTheme="minorEastAsia" w:hAnsi="Cambria Math" w:cs="Times New Roman"/>
              <w:sz w:val="24"/>
              <w:szCs w:val="24"/>
              <w:lang w:val="en-US"/>
            </w:rPr>
            <m:t>N</m:t>
          </m:r>
        </m:oMath>
      </m:oMathPara>
    </w:p>
    <w:p w:rsidR="00A471E7" w:rsidRDefault="00A471E7" w:rsidP="007C109B">
      <w:pPr>
        <w:spacing w:after="0" w:line="360" w:lineRule="auto"/>
        <w:jc w:val="both"/>
        <w:rPr>
          <w:rFonts w:ascii="Times New Roman" w:hAnsi="Times New Roman" w:cs="Times New Roman"/>
          <w:sz w:val="24"/>
          <w:szCs w:val="24"/>
          <w:lang w:val="en-US"/>
        </w:rPr>
      </w:pPr>
    </w:p>
    <w:p w:rsidR="00CC1BB8" w:rsidRDefault="007637E0" w:rsidP="007637E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Usi</w:t>
      </w:r>
      <w:r w:rsidR="00CC1BB8">
        <w:rPr>
          <w:rFonts w:ascii="Times New Roman" w:hAnsi="Times New Roman" w:cs="Times New Roman"/>
          <w:sz w:val="24"/>
          <w:szCs w:val="24"/>
          <w:lang w:val="en-US"/>
        </w:rPr>
        <w:t xml:space="preserve">ng this to modify equation (3), </w:t>
      </w:r>
      <w:r>
        <w:rPr>
          <w:rFonts w:ascii="Times New Roman" w:hAnsi="Times New Roman" w:cs="Times New Roman"/>
          <w:sz w:val="24"/>
          <w:szCs w:val="24"/>
          <w:lang w:val="en-US"/>
        </w:rPr>
        <w:t xml:space="preserve">the cost per QALY </w:t>
      </w:r>
      <w:r w:rsidR="00C5535E">
        <w:rPr>
          <w:rFonts w:ascii="Times New Roman" w:hAnsi="Times New Roman" w:cs="Times New Roman"/>
          <w:sz w:val="24"/>
          <w:szCs w:val="24"/>
          <w:lang w:val="en-US"/>
        </w:rPr>
        <w:t xml:space="preserve">is now as </w:t>
      </w:r>
      <w:r w:rsidR="003E1C25">
        <w:rPr>
          <w:rFonts w:ascii="Times New Roman" w:hAnsi="Times New Roman" w:cs="Times New Roman"/>
          <w:sz w:val="24"/>
          <w:szCs w:val="24"/>
          <w:lang w:val="en-US"/>
        </w:rPr>
        <w:t>follows</w:t>
      </w:r>
      <w:r w:rsidR="009E626C">
        <w:rPr>
          <w:rFonts w:ascii="Times New Roman" w:hAnsi="Times New Roman" w:cs="Times New Roman"/>
          <w:sz w:val="24"/>
          <w:szCs w:val="24"/>
          <w:lang w:val="en-US"/>
        </w:rPr>
        <w:t>:</w:t>
      </w:r>
    </w:p>
    <w:p w:rsidR="004575C3" w:rsidRDefault="004575C3" w:rsidP="007637E0">
      <w:pPr>
        <w:spacing w:after="0" w:line="360" w:lineRule="auto"/>
        <w:jc w:val="both"/>
        <w:rPr>
          <w:rFonts w:ascii="Times New Roman" w:hAnsi="Times New Roman" w:cs="Times New Roman"/>
          <w:sz w:val="24"/>
          <w:szCs w:val="24"/>
          <w:lang w:val="en-US"/>
        </w:rPr>
      </w:pPr>
    </w:p>
    <w:p w:rsidR="007637E0" w:rsidRDefault="007637E0" w:rsidP="007637E0">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m:t>
          </m:r>
          <m:f>
            <m:fPr>
              <m:ctrlPr>
                <w:rPr>
                  <w:rFonts w:ascii="Cambria Math" w:hAnsi="Cambria Math" w:cs="Times New Roman"/>
                  <w:i/>
                  <w:sz w:val="24"/>
                  <w:szCs w:val="24"/>
                  <w:lang w:val="en-US"/>
                </w:rPr>
              </m:ctrlPr>
            </m:fPr>
            <m:num>
              <m:r>
                <w:rPr>
                  <w:rFonts w:ascii="Cambria Math" w:hAnsi="Cambria Math" w:cs="Times New Roman"/>
                  <w:sz w:val="24"/>
                  <w:szCs w:val="24"/>
                  <w:lang w:val="en-US"/>
                </w:rPr>
                <m:t>$27b-N$0.2b</m:t>
              </m:r>
            </m:num>
            <m:den>
              <m:r>
                <w:rPr>
                  <w:rFonts w:ascii="Cambria Math" w:hAnsi="Cambria Math" w:cs="Times New Roman"/>
                  <w:sz w:val="24"/>
                  <w:szCs w:val="24"/>
                  <w:lang w:val="en-US"/>
                </w:rPr>
                <m:t>6,240N</m:t>
              </m:r>
            </m:den>
          </m:f>
          <m:r>
            <w:rPr>
              <w:rFonts w:ascii="Cambria Math" w:hAnsi="Cambria Math" w:cs="Times New Roman"/>
              <w:sz w:val="24"/>
              <w:szCs w:val="24"/>
              <w:lang w:val="en-US"/>
            </w:rPr>
            <m:t xml:space="preserve">                                                       (4) </m:t>
          </m:r>
        </m:oMath>
      </m:oMathPara>
    </w:p>
    <w:p w:rsidR="00127068" w:rsidRDefault="00127068" w:rsidP="007C109B">
      <w:pPr>
        <w:spacing w:after="0" w:line="360" w:lineRule="auto"/>
        <w:jc w:val="both"/>
        <w:rPr>
          <w:rFonts w:ascii="Times New Roman" w:hAnsi="Times New Roman" w:cs="Times New Roman"/>
          <w:sz w:val="24"/>
          <w:szCs w:val="24"/>
          <w:lang w:val="en-US"/>
        </w:rPr>
      </w:pPr>
    </w:p>
    <w:p w:rsidR="00177662" w:rsidRDefault="00132FE7" w:rsidP="007C109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Secondly, </w:t>
      </w:r>
      <w:r w:rsidR="00DA1AA2">
        <w:rPr>
          <w:rFonts w:ascii="Times New Roman" w:hAnsi="Times New Roman" w:cs="Times New Roman"/>
          <w:sz w:val="24"/>
          <w:szCs w:val="24"/>
          <w:lang w:val="en-US"/>
        </w:rPr>
        <w:t xml:space="preserve">mitigation gives rise to </w:t>
      </w:r>
      <w:r>
        <w:rPr>
          <w:rFonts w:ascii="Times New Roman" w:hAnsi="Times New Roman" w:cs="Times New Roman"/>
          <w:sz w:val="24"/>
          <w:szCs w:val="24"/>
          <w:lang w:val="en-US"/>
        </w:rPr>
        <w:t xml:space="preserve">some </w:t>
      </w:r>
      <w:r w:rsidR="00F851D3">
        <w:rPr>
          <w:rFonts w:ascii="Times New Roman" w:hAnsi="Times New Roman" w:cs="Times New Roman"/>
          <w:sz w:val="24"/>
          <w:szCs w:val="24"/>
          <w:lang w:val="en-US"/>
        </w:rPr>
        <w:t xml:space="preserve">survivors </w:t>
      </w:r>
      <w:r w:rsidR="00DA1AA2">
        <w:rPr>
          <w:rFonts w:ascii="Times New Roman" w:hAnsi="Times New Roman" w:cs="Times New Roman"/>
          <w:sz w:val="24"/>
          <w:szCs w:val="24"/>
          <w:lang w:val="en-US"/>
        </w:rPr>
        <w:t xml:space="preserve">who may </w:t>
      </w:r>
      <w:r w:rsidR="00F851D3">
        <w:rPr>
          <w:rFonts w:ascii="Times New Roman" w:hAnsi="Times New Roman" w:cs="Times New Roman"/>
          <w:sz w:val="24"/>
          <w:szCs w:val="24"/>
          <w:lang w:val="en-US"/>
        </w:rPr>
        <w:t xml:space="preserve">experience </w:t>
      </w:r>
      <w:r w:rsidR="002636F7">
        <w:rPr>
          <w:rFonts w:ascii="Times New Roman" w:hAnsi="Times New Roman" w:cs="Times New Roman"/>
          <w:sz w:val="24"/>
          <w:szCs w:val="24"/>
          <w:lang w:val="en-US"/>
        </w:rPr>
        <w:t xml:space="preserve">significant </w:t>
      </w:r>
      <w:r w:rsidR="00F851D3">
        <w:rPr>
          <w:rFonts w:ascii="Times New Roman" w:hAnsi="Times New Roman" w:cs="Times New Roman"/>
          <w:sz w:val="24"/>
          <w:szCs w:val="24"/>
          <w:lang w:val="en-US"/>
        </w:rPr>
        <w:t xml:space="preserve">long-term adverse consequences.  </w:t>
      </w:r>
      <w:r w:rsidR="00DB7665">
        <w:rPr>
          <w:rFonts w:ascii="Times New Roman" w:hAnsi="Times New Roman" w:cs="Times New Roman"/>
          <w:sz w:val="24"/>
          <w:szCs w:val="24"/>
          <w:lang w:val="en-US"/>
        </w:rPr>
        <w:t>Arnold et al (2020) report that, amongst Covid-19 cases in the UK who were hospitalized</w:t>
      </w:r>
      <w:r w:rsidR="00E81C88">
        <w:rPr>
          <w:rFonts w:ascii="Times New Roman" w:hAnsi="Times New Roman" w:cs="Times New Roman"/>
          <w:sz w:val="24"/>
          <w:szCs w:val="24"/>
          <w:lang w:val="en-US"/>
        </w:rPr>
        <w:t xml:space="preserve">, 26% died and </w:t>
      </w:r>
      <w:r w:rsidR="00DB7665">
        <w:rPr>
          <w:rFonts w:ascii="Times New Roman" w:hAnsi="Times New Roman" w:cs="Times New Roman"/>
          <w:sz w:val="24"/>
          <w:szCs w:val="24"/>
          <w:lang w:val="en-US"/>
        </w:rPr>
        <w:t xml:space="preserve">74% </w:t>
      </w:r>
      <w:r w:rsidR="00E81C88">
        <w:rPr>
          <w:rFonts w:ascii="Times New Roman" w:hAnsi="Times New Roman" w:cs="Times New Roman"/>
          <w:sz w:val="24"/>
          <w:szCs w:val="24"/>
          <w:lang w:val="en-US"/>
        </w:rPr>
        <w:t xml:space="preserve">of the rest </w:t>
      </w:r>
      <w:r w:rsidR="00DB7665">
        <w:rPr>
          <w:rFonts w:ascii="Times New Roman" w:hAnsi="Times New Roman" w:cs="Times New Roman"/>
          <w:sz w:val="24"/>
          <w:szCs w:val="24"/>
          <w:lang w:val="en-US"/>
        </w:rPr>
        <w:t xml:space="preserve">had ongoing problems after 12 weeks, implying a </w:t>
      </w:r>
      <w:r w:rsidR="00EC4482">
        <w:rPr>
          <w:rFonts w:ascii="Times New Roman" w:hAnsi="Times New Roman" w:cs="Times New Roman"/>
          <w:sz w:val="24"/>
          <w:szCs w:val="24"/>
          <w:lang w:val="en-US"/>
        </w:rPr>
        <w:t>ratio of slow recovery patients to dead</w:t>
      </w:r>
      <w:r w:rsidR="00DB7665">
        <w:rPr>
          <w:rFonts w:ascii="Times New Roman" w:hAnsi="Times New Roman" w:cs="Times New Roman"/>
          <w:sz w:val="24"/>
          <w:szCs w:val="24"/>
          <w:lang w:val="en-US"/>
        </w:rPr>
        <w:t xml:space="preserve"> of </w:t>
      </w:r>
      <w:r w:rsidR="00E81C88">
        <w:rPr>
          <w:rFonts w:ascii="Times New Roman" w:hAnsi="Times New Roman" w:cs="Times New Roman"/>
          <w:sz w:val="24"/>
          <w:szCs w:val="24"/>
          <w:lang w:val="en-US"/>
        </w:rPr>
        <w:t>74*0.74/26 = 2.1</w:t>
      </w:r>
      <w:r w:rsidR="00DB7665">
        <w:rPr>
          <w:rFonts w:ascii="Times New Roman" w:hAnsi="Times New Roman" w:cs="Times New Roman"/>
          <w:sz w:val="24"/>
          <w:szCs w:val="24"/>
          <w:lang w:val="en-US"/>
        </w:rPr>
        <w:t xml:space="preserve">.  </w:t>
      </w:r>
      <w:r w:rsidR="00325E89">
        <w:rPr>
          <w:rFonts w:ascii="Times New Roman" w:hAnsi="Times New Roman" w:cs="Times New Roman"/>
          <w:sz w:val="24"/>
          <w:szCs w:val="24"/>
          <w:lang w:val="en-US"/>
        </w:rPr>
        <w:t xml:space="preserve">However, </w:t>
      </w:r>
      <w:r w:rsidR="00DB7665">
        <w:rPr>
          <w:rFonts w:ascii="Times New Roman" w:hAnsi="Times New Roman" w:cs="Times New Roman"/>
          <w:sz w:val="24"/>
          <w:szCs w:val="24"/>
          <w:lang w:val="en-US"/>
        </w:rPr>
        <w:t xml:space="preserve">this ratio will be too low because it excludes </w:t>
      </w:r>
      <w:r w:rsidR="000A7761">
        <w:rPr>
          <w:rFonts w:ascii="Times New Roman" w:hAnsi="Times New Roman" w:cs="Times New Roman"/>
          <w:sz w:val="24"/>
          <w:szCs w:val="24"/>
          <w:lang w:val="en-US"/>
        </w:rPr>
        <w:t>slow recove</w:t>
      </w:r>
      <w:r w:rsidR="008E25BE">
        <w:rPr>
          <w:rFonts w:ascii="Times New Roman" w:hAnsi="Times New Roman" w:cs="Times New Roman"/>
          <w:sz w:val="24"/>
          <w:szCs w:val="24"/>
          <w:lang w:val="en-US"/>
        </w:rPr>
        <w:t>ry patients</w:t>
      </w:r>
      <w:r w:rsidR="000A7761">
        <w:rPr>
          <w:rFonts w:ascii="Times New Roman" w:hAnsi="Times New Roman" w:cs="Times New Roman"/>
          <w:sz w:val="24"/>
          <w:szCs w:val="24"/>
          <w:lang w:val="en-US"/>
        </w:rPr>
        <w:t xml:space="preserve"> </w:t>
      </w:r>
      <w:r w:rsidR="00DB7665">
        <w:rPr>
          <w:rFonts w:ascii="Times New Roman" w:hAnsi="Times New Roman" w:cs="Times New Roman"/>
          <w:sz w:val="24"/>
          <w:szCs w:val="24"/>
          <w:lang w:val="en-US"/>
        </w:rPr>
        <w:t xml:space="preserve">who were never hospitalized.  </w:t>
      </w:r>
      <w:r w:rsidR="00AF53F4">
        <w:rPr>
          <w:rFonts w:ascii="Times New Roman" w:hAnsi="Times New Roman" w:cs="Times New Roman"/>
          <w:sz w:val="24"/>
          <w:szCs w:val="24"/>
          <w:lang w:val="en-US"/>
        </w:rPr>
        <w:t xml:space="preserve">Using data from the </w:t>
      </w:r>
      <w:proofErr w:type="spellStart"/>
      <w:r w:rsidR="00AF53F4">
        <w:rPr>
          <w:rFonts w:ascii="Times New Roman" w:hAnsi="Times New Roman" w:cs="Times New Roman"/>
          <w:sz w:val="24"/>
          <w:szCs w:val="24"/>
          <w:lang w:val="en-US"/>
        </w:rPr>
        <w:t>Covid</w:t>
      </w:r>
      <w:proofErr w:type="spellEnd"/>
      <w:r w:rsidR="00AF53F4">
        <w:rPr>
          <w:rFonts w:ascii="Times New Roman" w:hAnsi="Times New Roman" w:cs="Times New Roman"/>
          <w:sz w:val="24"/>
          <w:szCs w:val="24"/>
          <w:lang w:val="en-US"/>
        </w:rPr>
        <w:t xml:space="preserve"> Symptom Study, </w:t>
      </w:r>
      <w:proofErr w:type="spellStart"/>
      <w:r w:rsidR="00325E89">
        <w:rPr>
          <w:rFonts w:ascii="Times New Roman" w:hAnsi="Times New Roman" w:cs="Times New Roman"/>
          <w:sz w:val="24"/>
          <w:szCs w:val="24"/>
          <w:lang w:val="en-US"/>
        </w:rPr>
        <w:t>Couzin</w:t>
      </w:r>
      <w:proofErr w:type="spellEnd"/>
      <w:r w:rsidR="00325E89">
        <w:rPr>
          <w:rFonts w:ascii="Times New Roman" w:hAnsi="Times New Roman" w:cs="Times New Roman"/>
          <w:sz w:val="24"/>
          <w:szCs w:val="24"/>
          <w:lang w:val="en-US"/>
        </w:rPr>
        <w:t xml:space="preserve">-Frankel (2020) estimates that 10-15% of </w:t>
      </w:r>
      <w:r w:rsidR="00DB7665" w:rsidRPr="00D36669">
        <w:rPr>
          <w:rFonts w:ascii="Times New Roman" w:hAnsi="Times New Roman" w:cs="Times New Roman"/>
          <w:i/>
          <w:sz w:val="24"/>
          <w:szCs w:val="24"/>
          <w:lang w:val="en-US"/>
        </w:rPr>
        <w:t>all</w:t>
      </w:r>
      <w:r w:rsidR="00DB7665">
        <w:rPr>
          <w:rFonts w:ascii="Times New Roman" w:hAnsi="Times New Roman" w:cs="Times New Roman"/>
          <w:sz w:val="24"/>
          <w:szCs w:val="24"/>
          <w:lang w:val="en-US"/>
        </w:rPr>
        <w:t xml:space="preserve"> of </w:t>
      </w:r>
      <w:r w:rsidR="00325E89">
        <w:rPr>
          <w:rFonts w:ascii="Times New Roman" w:hAnsi="Times New Roman" w:cs="Times New Roman"/>
          <w:sz w:val="24"/>
          <w:szCs w:val="24"/>
          <w:lang w:val="en-US"/>
        </w:rPr>
        <w:t xml:space="preserve">those infected do not recover quickly.  </w:t>
      </w:r>
      <w:r w:rsidR="00AF53F4">
        <w:rPr>
          <w:rFonts w:ascii="Times New Roman" w:hAnsi="Times New Roman" w:cs="Times New Roman"/>
          <w:sz w:val="24"/>
          <w:szCs w:val="24"/>
          <w:lang w:val="en-US"/>
        </w:rPr>
        <w:t xml:space="preserve">More recently, and using the same data source, </w:t>
      </w:r>
      <w:proofErr w:type="spellStart"/>
      <w:r w:rsidR="00AF53F4">
        <w:rPr>
          <w:rFonts w:ascii="Times New Roman" w:hAnsi="Times New Roman" w:cs="Times New Roman"/>
          <w:sz w:val="24"/>
          <w:szCs w:val="24"/>
          <w:lang w:val="en-US"/>
        </w:rPr>
        <w:t>Greenhalgh</w:t>
      </w:r>
      <w:proofErr w:type="spellEnd"/>
      <w:r w:rsidR="00AF53F4">
        <w:rPr>
          <w:rFonts w:ascii="Times New Roman" w:hAnsi="Times New Roman" w:cs="Times New Roman"/>
          <w:sz w:val="24"/>
          <w:szCs w:val="24"/>
          <w:lang w:val="en-US"/>
        </w:rPr>
        <w:t xml:space="preserve"> and Knight (2020) estimate that 10% </w:t>
      </w:r>
      <w:r w:rsidR="00CA46DA">
        <w:rPr>
          <w:rFonts w:ascii="Times New Roman" w:hAnsi="Times New Roman" w:cs="Times New Roman"/>
          <w:sz w:val="24"/>
          <w:szCs w:val="24"/>
          <w:lang w:val="en-US"/>
        </w:rPr>
        <w:t xml:space="preserve">of those </w:t>
      </w:r>
      <w:r w:rsidR="00AF53F4">
        <w:rPr>
          <w:rFonts w:ascii="Times New Roman" w:hAnsi="Times New Roman" w:cs="Times New Roman"/>
          <w:sz w:val="24"/>
          <w:szCs w:val="24"/>
          <w:lang w:val="en-US"/>
        </w:rPr>
        <w:t xml:space="preserve">who have tested positive remain unwell after three weeks and a smaller (but unquantified) proportion for months.  </w:t>
      </w:r>
      <w:r w:rsidR="00325E89">
        <w:rPr>
          <w:rFonts w:ascii="Times New Roman" w:hAnsi="Times New Roman" w:cs="Times New Roman"/>
          <w:sz w:val="24"/>
          <w:szCs w:val="24"/>
          <w:lang w:val="en-US"/>
        </w:rPr>
        <w:t xml:space="preserve">As of </w:t>
      </w:r>
      <w:r w:rsidR="00AF53F4">
        <w:rPr>
          <w:rFonts w:ascii="Times New Roman" w:hAnsi="Times New Roman" w:cs="Times New Roman"/>
          <w:sz w:val="24"/>
          <w:szCs w:val="24"/>
          <w:lang w:val="en-US"/>
        </w:rPr>
        <w:t xml:space="preserve">15 October 2020, </w:t>
      </w:r>
      <w:r w:rsidR="00325E89">
        <w:rPr>
          <w:rFonts w:ascii="Times New Roman" w:hAnsi="Times New Roman" w:cs="Times New Roman"/>
          <w:sz w:val="24"/>
          <w:szCs w:val="24"/>
          <w:lang w:val="en-US"/>
        </w:rPr>
        <w:t xml:space="preserve">there </w:t>
      </w:r>
      <w:r w:rsidR="00EB3B20">
        <w:rPr>
          <w:rFonts w:ascii="Times New Roman" w:hAnsi="Times New Roman" w:cs="Times New Roman"/>
          <w:sz w:val="24"/>
          <w:szCs w:val="24"/>
          <w:lang w:val="en-US"/>
        </w:rPr>
        <w:t xml:space="preserve">have been </w:t>
      </w:r>
      <w:r w:rsidR="00AF53F4">
        <w:rPr>
          <w:rFonts w:ascii="Times New Roman" w:hAnsi="Times New Roman" w:cs="Times New Roman"/>
          <w:sz w:val="24"/>
          <w:szCs w:val="24"/>
          <w:lang w:val="en-US"/>
        </w:rPr>
        <w:t>38.6m recorded cases and 1.1</w:t>
      </w:r>
      <w:r w:rsidR="00325E89">
        <w:rPr>
          <w:rFonts w:ascii="Times New Roman" w:hAnsi="Times New Roman" w:cs="Times New Roman"/>
          <w:sz w:val="24"/>
          <w:szCs w:val="24"/>
          <w:lang w:val="en-US"/>
        </w:rPr>
        <w:t>m deaths</w:t>
      </w:r>
      <w:r w:rsidR="00EB3B20">
        <w:rPr>
          <w:rFonts w:ascii="Times New Roman" w:hAnsi="Times New Roman" w:cs="Times New Roman"/>
          <w:sz w:val="24"/>
          <w:szCs w:val="24"/>
          <w:lang w:val="en-US"/>
        </w:rPr>
        <w:t xml:space="preserve"> worldwide. </w:t>
      </w:r>
      <w:r w:rsidR="00EB3B20">
        <w:rPr>
          <w:rStyle w:val="FootnoteReference"/>
          <w:rFonts w:ascii="Times New Roman" w:hAnsi="Times New Roman" w:cs="Times New Roman"/>
          <w:sz w:val="24"/>
          <w:szCs w:val="24"/>
          <w:lang w:val="en-US"/>
        </w:rPr>
        <w:footnoteReference w:id="23"/>
      </w:r>
      <w:r w:rsidR="00325E89">
        <w:rPr>
          <w:rFonts w:ascii="Times New Roman" w:hAnsi="Times New Roman" w:cs="Times New Roman"/>
          <w:sz w:val="24"/>
          <w:szCs w:val="24"/>
          <w:lang w:val="en-US"/>
        </w:rPr>
        <w:t xml:space="preserve">  So, the ratio of these </w:t>
      </w:r>
      <w:r w:rsidR="00C12670">
        <w:rPr>
          <w:rFonts w:ascii="Times New Roman" w:hAnsi="Times New Roman" w:cs="Times New Roman"/>
          <w:sz w:val="24"/>
          <w:szCs w:val="24"/>
          <w:lang w:val="en-US"/>
        </w:rPr>
        <w:t xml:space="preserve">slow recovery </w:t>
      </w:r>
      <w:r w:rsidR="00AF53F4">
        <w:rPr>
          <w:rFonts w:ascii="Times New Roman" w:hAnsi="Times New Roman" w:cs="Times New Roman"/>
          <w:sz w:val="24"/>
          <w:szCs w:val="24"/>
          <w:lang w:val="en-US"/>
        </w:rPr>
        <w:t>cases to deaths is 38.6</w:t>
      </w:r>
      <w:r w:rsidR="00C12670">
        <w:rPr>
          <w:rFonts w:ascii="Times New Roman" w:hAnsi="Times New Roman" w:cs="Times New Roman"/>
          <w:sz w:val="24"/>
          <w:szCs w:val="24"/>
          <w:lang w:val="en-US"/>
        </w:rPr>
        <w:t>m</w:t>
      </w:r>
      <w:r w:rsidR="00AF53F4">
        <w:rPr>
          <w:rFonts w:ascii="Times New Roman" w:hAnsi="Times New Roman" w:cs="Times New Roman"/>
          <w:sz w:val="24"/>
          <w:szCs w:val="24"/>
          <w:lang w:val="en-US"/>
        </w:rPr>
        <w:t>*0.1/1.1</w:t>
      </w:r>
      <w:r w:rsidR="00C12670">
        <w:rPr>
          <w:rFonts w:ascii="Times New Roman" w:hAnsi="Times New Roman" w:cs="Times New Roman"/>
          <w:sz w:val="24"/>
          <w:szCs w:val="24"/>
          <w:lang w:val="en-US"/>
        </w:rPr>
        <w:t>m</w:t>
      </w:r>
      <w:r w:rsidR="00AF53F4">
        <w:rPr>
          <w:rFonts w:ascii="Times New Roman" w:hAnsi="Times New Roman" w:cs="Times New Roman"/>
          <w:sz w:val="24"/>
          <w:szCs w:val="24"/>
          <w:lang w:val="en-US"/>
        </w:rPr>
        <w:t xml:space="preserve"> = 3.5</w:t>
      </w:r>
      <w:r w:rsidR="00325E89">
        <w:rPr>
          <w:rFonts w:ascii="Times New Roman" w:hAnsi="Times New Roman" w:cs="Times New Roman"/>
          <w:sz w:val="24"/>
          <w:szCs w:val="24"/>
          <w:lang w:val="en-US"/>
        </w:rPr>
        <w:t xml:space="preserve">.  </w:t>
      </w:r>
      <w:r w:rsidR="00952C20">
        <w:rPr>
          <w:rFonts w:ascii="Times New Roman" w:hAnsi="Times New Roman" w:cs="Times New Roman"/>
          <w:sz w:val="24"/>
          <w:szCs w:val="24"/>
          <w:lang w:val="en-US"/>
        </w:rPr>
        <w:t xml:space="preserve">These sufferers </w:t>
      </w:r>
      <w:r w:rsidR="008E25BE">
        <w:rPr>
          <w:rFonts w:ascii="Times New Roman" w:hAnsi="Times New Roman" w:cs="Times New Roman"/>
          <w:sz w:val="24"/>
          <w:szCs w:val="24"/>
          <w:lang w:val="en-US"/>
        </w:rPr>
        <w:t xml:space="preserve">seem to be </w:t>
      </w:r>
      <w:r w:rsidR="00952C20">
        <w:rPr>
          <w:rFonts w:ascii="Times New Roman" w:hAnsi="Times New Roman" w:cs="Times New Roman"/>
          <w:sz w:val="24"/>
          <w:szCs w:val="24"/>
          <w:lang w:val="en-US"/>
        </w:rPr>
        <w:t xml:space="preserve">similar to </w:t>
      </w:r>
      <w:r w:rsidR="00144904">
        <w:rPr>
          <w:rFonts w:ascii="Times New Roman" w:hAnsi="Times New Roman" w:cs="Times New Roman"/>
          <w:sz w:val="24"/>
          <w:szCs w:val="24"/>
          <w:lang w:val="en-US"/>
        </w:rPr>
        <w:t xml:space="preserve">the fatalities </w:t>
      </w:r>
      <w:r w:rsidR="00952C20">
        <w:rPr>
          <w:rFonts w:ascii="Times New Roman" w:hAnsi="Times New Roman" w:cs="Times New Roman"/>
          <w:sz w:val="24"/>
          <w:szCs w:val="24"/>
          <w:lang w:val="en-US"/>
        </w:rPr>
        <w:t>in their age and the presence of pre-existing conditions.</w:t>
      </w:r>
      <w:r w:rsidR="00952C20">
        <w:rPr>
          <w:rStyle w:val="FootnoteReference"/>
          <w:rFonts w:ascii="Times New Roman" w:hAnsi="Times New Roman" w:cs="Times New Roman"/>
          <w:sz w:val="24"/>
          <w:szCs w:val="24"/>
          <w:lang w:val="en-US"/>
        </w:rPr>
        <w:footnoteReference w:id="24"/>
      </w:r>
      <w:r w:rsidR="00952C20">
        <w:rPr>
          <w:rFonts w:ascii="Times New Roman" w:hAnsi="Times New Roman" w:cs="Times New Roman"/>
          <w:sz w:val="24"/>
          <w:szCs w:val="24"/>
          <w:lang w:val="en-US"/>
        </w:rPr>
        <w:t xml:space="preserve">  </w:t>
      </w:r>
      <w:r w:rsidR="00CA46DA">
        <w:rPr>
          <w:rFonts w:ascii="Times New Roman" w:hAnsi="Times New Roman" w:cs="Times New Roman"/>
          <w:sz w:val="24"/>
          <w:szCs w:val="24"/>
          <w:lang w:val="en-US"/>
        </w:rPr>
        <w:t xml:space="preserve">However, given the lack of precision about this, I conservatively assume a </w:t>
      </w:r>
      <w:r w:rsidR="00952C20">
        <w:rPr>
          <w:rFonts w:ascii="Times New Roman" w:hAnsi="Times New Roman" w:cs="Times New Roman"/>
          <w:sz w:val="24"/>
          <w:szCs w:val="24"/>
          <w:lang w:val="en-US"/>
        </w:rPr>
        <w:t xml:space="preserve">residual life expectancy </w:t>
      </w:r>
      <w:r w:rsidR="00CA46DA">
        <w:rPr>
          <w:rFonts w:ascii="Times New Roman" w:hAnsi="Times New Roman" w:cs="Times New Roman"/>
          <w:sz w:val="24"/>
          <w:szCs w:val="24"/>
          <w:lang w:val="en-US"/>
        </w:rPr>
        <w:t>for these long-term sufferers to be double that of the fatalities, which is therefore 10 years</w:t>
      </w:r>
      <w:r w:rsidR="00952C20">
        <w:rPr>
          <w:rFonts w:ascii="Times New Roman" w:hAnsi="Times New Roman" w:cs="Times New Roman"/>
          <w:sz w:val="24"/>
          <w:szCs w:val="24"/>
          <w:lang w:val="en-US"/>
        </w:rPr>
        <w:t xml:space="preserve">.  Furthermore, consistent with the figure used earlier for people suffering from serious pre-existing conditions, their </w:t>
      </w:r>
      <w:r w:rsidR="00B27A07">
        <w:rPr>
          <w:rFonts w:ascii="Times New Roman" w:hAnsi="Times New Roman" w:cs="Times New Roman"/>
          <w:sz w:val="24"/>
          <w:szCs w:val="24"/>
          <w:lang w:val="en-US"/>
        </w:rPr>
        <w:t xml:space="preserve">quality of life is thereby </w:t>
      </w:r>
      <w:r w:rsidR="00CA46DA">
        <w:rPr>
          <w:rFonts w:ascii="Times New Roman" w:hAnsi="Times New Roman" w:cs="Times New Roman"/>
          <w:sz w:val="24"/>
          <w:szCs w:val="24"/>
          <w:lang w:val="en-US"/>
        </w:rPr>
        <w:t xml:space="preserve">initially </w:t>
      </w:r>
      <w:r w:rsidR="00B27A07">
        <w:rPr>
          <w:rFonts w:ascii="Times New Roman" w:hAnsi="Times New Roman" w:cs="Times New Roman"/>
          <w:sz w:val="24"/>
          <w:szCs w:val="24"/>
          <w:lang w:val="en-US"/>
        </w:rPr>
        <w:t>reduced b</w:t>
      </w:r>
      <w:r w:rsidR="00952C20">
        <w:rPr>
          <w:rFonts w:ascii="Times New Roman" w:hAnsi="Times New Roman" w:cs="Times New Roman"/>
          <w:sz w:val="24"/>
          <w:szCs w:val="24"/>
          <w:lang w:val="en-US"/>
        </w:rPr>
        <w:t>y 20%</w:t>
      </w:r>
      <w:r w:rsidR="00CA46DA">
        <w:rPr>
          <w:rFonts w:ascii="Times New Roman" w:hAnsi="Times New Roman" w:cs="Times New Roman"/>
          <w:sz w:val="24"/>
          <w:szCs w:val="24"/>
          <w:lang w:val="en-US"/>
        </w:rPr>
        <w:t xml:space="preserve">.  Since </w:t>
      </w:r>
      <w:proofErr w:type="spellStart"/>
      <w:r w:rsidR="00CA46DA">
        <w:rPr>
          <w:rFonts w:ascii="Times New Roman" w:hAnsi="Times New Roman" w:cs="Times New Roman"/>
          <w:sz w:val="24"/>
          <w:szCs w:val="24"/>
          <w:lang w:val="en-US"/>
        </w:rPr>
        <w:t>Greenhalgh</w:t>
      </w:r>
      <w:proofErr w:type="spellEnd"/>
      <w:r w:rsidR="00CA46DA">
        <w:rPr>
          <w:rFonts w:ascii="Times New Roman" w:hAnsi="Times New Roman" w:cs="Times New Roman"/>
          <w:sz w:val="24"/>
          <w:szCs w:val="24"/>
          <w:lang w:val="en-US"/>
        </w:rPr>
        <w:t xml:space="preserve"> and Knight (2020) imply that some of them do recover, I assume an average loss in their quality of life over their </w:t>
      </w:r>
      <w:r w:rsidR="00952C20">
        <w:rPr>
          <w:rFonts w:ascii="Times New Roman" w:hAnsi="Times New Roman" w:cs="Times New Roman"/>
          <w:sz w:val="24"/>
          <w:szCs w:val="24"/>
          <w:lang w:val="en-US"/>
        </w:rPr>
        <w:t>remaining life</w:t>
      </w:r>
      <w:r w:rsidR="00CA46DA">
        <w:rPr>
          <w:rFonts w:ascii="Times New Roman" w:hAnsi="Times New Roman" w:cs="Times New Roman"/>
          <w:sz w:val="24"/>
          <w:szCs w:val="24"/>
          <w:lang w:val="en-US"/>
        </w:rPr>
        <w:t xml:space="preserve"> equal to half of this, which is 10%</w:t>
      </w:r>
      <w:r w:rsidR="00325E89">
        <w:rPr>
          <w:rFonts w:ascii="Times New Roman" w:hAnsi="Times New Roman" w:cs="Times New Roman"/>
          <w:sz w:val="24"/>
          <w:szCs w:val="24"/>
          <w:lang w:val="en-US"/>
        </w:rPr>
        <w:t xml:space="preserve">.  </w:t>
      </w:r>
      <w:r w:rsidR="00952C20">
        <w:rPr>
          <w:rFonts w:ascii="Times New Roman" w:hAnsi="Times New Roman" w:cs="Times New Roman"/>
          <w:sz w:val="24"/>
          <w:szCs w:val="24"/>
          <w:lang w:val="en-US"/>
        </w:rPr>
        <w:t xml:space="preserve">Allowing for all this is then </w:t>
      </w:r>
      <w:r w:rsidR="00B27A07">
        <w:rPr>
          <w:rFonts w:ascii="Times New Roman" w:hAnsi="Times New Roman" w:cs="Times New Roman"/>
          <w:sz w:val="24"/>
          <w:szCs w:val="24"/>
          <w:lang w:val="en-US"/>
        </w:rPr>
        <w:t xml:space="preserve">equivalent to </w:t>
      </w:r>
      <w:r w:rsidR="00B3213F">
        <w:rPr>
          <w:rFonts w:ascii="Times New Roman" w:hAnsi="Times New Roman" w:cs="Times New Roman"/>
          <w:sz w:val="24"/>
          <w:szCs w:val="24"/>
          <w:lang w:val="en-US"/>
        </w:rPr>
        <w:t xml:space="preserve">increasing the </w:t>
      </w:r>
      <w:r w:rsidR="00B27A07">
        <w:rPr>
          <w:rFonts w:ascii="Times New Roman" w:hAnsi="Times New Roman" w:cs="Times New Roman"/>
          <w:sz w:val="24"/>
          <w:szCs w:val="24"/>
          <w:lang w:val="en-US"/>
        </w:rPr>
        <w:t xml:space="preserve">QALYs saved </w:t>
      </w:r>
      <w:r w:rsidR="004D7473">
        <w:rPr>
          <w:rFonts w:ascii="Times New Roman" w:hAnsi="Times New Roman" w:cs="Times New Roman"/>
          <w:sz w:val="24"/>
          <w:szCs w:val="24"/>
          <w:lang w:val="en-US"/>
        </w:rPr>
        <w:t xml:space="preserve">from </w:t>
      </w:r>
      <w:r w:rsidR="005D2BE1">
        <w:rPr>
          <w:rFonts w:ascii="Times New Roman" w:hAnsi="Times New Roman" w:cs="Times New Roman"/>
          <w:sz w:val="24"/>
          <w:szCs w:val="24"/>
          <w:lang w:val="en-US"/>
        </w:rPr>
        <w:t>lockdown</w:t>
      </w:r>
      <w:r w:rsidR="00B27A07">
        <w:rPr>
          <w:rFonts w:ascii="Times New Roman" w:hAnsi="Times New Roman" w:cs="Times New Roman"/>
          <w:sz w:val="24"/>
          <w:szCs w:val="24"/>
          <w:lang w:val="en-US"/>
        </w:rPr>
        <w:t xml:space="preserve"> rather than mitigation</w:t>
      </w:r>
      <w:r w:rsidR="00B3213F">
        <w:rPr>
          <w:rFonts w:ascii="Times New Roman" w:hAnsi="Times New Roman" w:cs="Times New Roman"/>
          <w:sz w:val="24"/>
          <w:szCs w:val="24"/>
          <w:lang w:val="en-US"/>
        </w:rPr>
        <w:t xml:space="preserve"> by </w:t>
      </w:r>
      <w:r w:rsidR="00952C20">
        <w:rPr>
          <w:rFonts w:ascii="Times New Roman" w:hAnsi="Times New Roman" w:cs="Times New Roman"/>
          <w:sz w:val="24"/>
          <w:szCs w:val="24"/>
          <w:lang w:val="en-US"/>
        </w:rPr>
        <w:t xml:space="preserve">a factor of </w:t>
      </w:r>
      <w:r w:rsidR="00BB3DC1">
        <w:rPr>
          <w:rFonts w:ascii="Times New Roman" w:hAnsi="Times New Roman" w:cs="Times New Roman"/>
          <w:sz w:val="24"/>
          <w:szCs w:val="24"/>
          <w:lang w:val="en-US"/>
        </w:rPr>
        <w:t xml:space="preserve">approximately </w:t>
      </w:r>
      <w:r w:rsidR="00CA46DA">
        <w:rPr>
          <w:rFonts w:ascii="Times New Roman" w:hAnsi="Times New Roman" w:cs="Times New Roman"/>
          <w:sz w:val="24"/>
          <w:szCs w:val="24"/>
          <w:lang w:val="en-US"/>
        </w:rPr>
        <w:t>2.0</w:t>
      </w:r>
      <w:r w:rsidR="007F189A">
        <w:rPr>
          <w:rFonts w:ascii="Times New Roman" w:hAnsi="Times New Roman" w:cs="Times New Roman"/>
          <w:sz w:val="24"/>
          <w:szCs w:val="24"/>
          <w:lang w:val="en-US"/>
        </w:rPr>
        <w:t xml:space="preserve"> as </w:t>
      </w:r>
      <w:r w:rsidR="00177662">
        <w:rPr>
          <w:rFonts w:ascii="Times New Roman" w:hAnsi="Times New Roman" w:cs="Times New Roman"/>
          <w:sz w:val="24"/>
          <w:szCs w:val="24"/>
          <w:lang w:val="en-US"/>
        </w:rPr>
        <w:t>follows:</w:t>
      </w:r>
    </w:p>
    <w:p w:rsidR="00325E89" w:rsidRDefault="00325E89" w:rsidP="007C109B">
      <w:pPr>
        <w:spacing w:after="0" w:line="360" w:lineRule="auto"/>
        <w:jc w:val="both"/>
        <w:rPr>
          <w:rFonts w:ascii="Times New Roman" w:hAnsi="Times New Roman" w:cs="Times New Roman"/>
          <w:sz w:val="24"/>
          <w:szCs w:val="24"/>
          <w:lang w:val="en-US"/>
        </w:rPr>
      </w:pPr>
    </w:p>
    <w:p w:rsidR="00B3213F" w:rsidRDefault="00033DF9" w:rsidP="007C109B">
      <w:pPr>
        <w:spacing w:after="0" w:line="360" w:lineRule="auto"/>
        <w:jc w:val="both"/>
        <w:rPr>
          <w:rFonts w:ascii="Times New Roman" w:hAnsi="Times New Roman" w:cs="Times New Roman"/>
          <w:sz w:val="24"/>
          <w:szCs w:val="24"/>
          <w:lang w:val="en-US"/>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1(5)(0.8)+3.5(10)(0.1)</m:t>
              </m:r>
            </m:num>
            <m:den>
              <m:r>
                <w:rPr>
                  <w:rFonts w:ascii="Cambria Math" w:hAnsi="Cambria Math" w:cs="Times New Roman"/>
                  <w:sz w:val="24"/>
                  <w:szCs w:val="24"/>
                  <w:lang w:val="en-US"/>
                </w:rPr>
                <m:t>1(5)(0.8)</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4.0+3.5</m:t>
              </m:r>
            </m:num>
            <m:den>
              <m:r>
                <w:rPr>
                  <w:rFonts w:ascii="Cambria Math" w:hAnsi="Cambria Math" w:cs="Times New Roman"/>
                  <w:sz w:val="24"/>
                  <w:szCs w:val="24"/>
                  <w:lang w:val="en-US"/>
                </w:rPr>
                <m:t>4.0</m:t>
              </m:r>
            </m:den>
          </m:f>
          <m:r>
            <w:rPr>
              <w:rFonts w:ascii="Cambria Math" w:hAnsi="Cambria Math" w:cs="Times New Roman"/>
              <w:sz w:val="24"/>
              <w:szCs w:val="24"/>
              <w:lang w:val="en-US"/>
            </w:rPr>
            <m:t>=1.88</m:t>
          </m:r>
        </m:oMath>
      </m:oMathPara>
    </w:p>
    <w:p w:rsidR="00B3213F" w:rsidRDefault="00B3213F" w:rsidP="007C109B">
      <w:pPr>
        <w:spacing w:after="0" w:line="360" w:lineRule="auto"/>
        <w:jc w:val="both"/>
        <w:rPr>
          <w:rFonts w:ascii="Times New Roman" w:hAnsi="Times New Roman" w:cs="Times New Roman"/>
          <w:sz w:val="24"/>
          <w:szCs w:val="24"/>
          <w:lang w:val="en-US"/>
        </w:rPr>
      </w:pPr>
    </w:p>
    <w:p w:rsidR="00FC3E5F" w:rsidRDefault="00B3213F" w:rsidP="007C109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C21CEB">
        <w:rPr>
          <w:rFonts w:ascii="Times New Roman" w:hAnsi="Times New Roman" w:cs="Times New Roman"/>
          <w:sz w:val="24"/>
          <w:szCs w:val="24"/>
          <w:lang w:val="en-US"/>
        </w:rPr>
        <w:t>raise</w:t>
      </w:r>
      <w:r w:rsidR="007637E0">
        <w:rPr>
          <w:rFonts w:ascii="Times New Roman" w:hAnsi="Times New Roman" w:cs="Times New Roman"/>
          <w:sz w:val="24"/>
          <w:szCs w:val="24"/>
          <w:lang w:val="en-US"/>
        </w:rPr>
        <w:t>s the denominator in equation (4</w:t>
      </w:r>
      <w:r w:rsidR="00C21CEB">
        <w:rPr>
          <w:rFonts w:ascii="Times New Roman" w:hAnsi="Times New Roman" w:cs="Times New Roman"/>
          <w:sz w:val="24"/>
          <w:szCs w:val="24"/>
          <w:lang w:val="en-US"/>
        </w:rPr>
        <w:t xml:space="preserve">) by a factor of </w:t>
      </w:r>
      <w:r w:rsidR="00FC3E5F">
        <w:rPr>
          <w:rFonts w:ascii="Times New Roman" w:hAnsi="Times New Roman" w:cs="Times New Roman"/>
          <w:sz w:val="24"/>
          <w:szCs w:val="24"/>
          <w:lang w:val="en-US"/>
        </w:rPr>
        <w:t xml:space="preserve">approximately </w:t>
      </w:r>
      <w:r w:rsidR="00CA46DA">
        <w:rPr>
          <w:rFonts w:ascii="Times New Roman" w:hAnsi="Times New Roman" w:cs="Times New Roman"/>
          <w:sz w:val="24"/>
          <w:szCs w:val="24"/>
          <w:lang w:val="en-US"/>
        </w:rPr>
        <w:t>2.0</w:t>
      </w:r>
      <w:r w:rsidR="0080638E">
        <w:rPr>
          <w:rFonts w:ascii="Times New Roman" w:hAnsi="Times New Roman" w:cs="Times New Roman"/>
          <w:sz w:val="24"/>
          <w:szCs w:val="24"/>
          <w:lang w:val="en-US"/>
        </w:rPr>
        <w:t xml:space="preserve">.  </w:t>
      </w:r>
      <w:r w:rsidR="00132FE7">
        <w:rPr>
          <w:rFonts w:ascii="Times New Roman" w:hAnsi="Times New Roman" w:cs="Times New Roman"/>
          <w:sz w:val="24"/>
          <w:szCs w:val="24"/>
          <w:lang w:val="en-US"/>
        </w:rPr>
        <w:t xml:space="preserve">There will also be medical costs associated with these </w:t>
      </w:r>
      <w:r w:rsidR="00CD54C4">
        <w:rPr>
          <w:rFonts w:ascii="Times New Roman" w:hAnsi="Times New Roman" w:cs="Times New Roman"/>
          <w:sz w:val="24"/>
          <w:szCs w:val="24"/>
          <w:lang w:val="en-US"/>
        </w:rPr>
        <w:t>long-term sufferers</w:t>
      </w:r>
      <w:r w:rsidR="00025585">
        <w:rPr>
          <w:rFonts w:ascii="Times New Roman" w:hAnsi="Times New Roman" w:cs="Times New Roman"/>
          <w:sz w:val="24"/>
          <w:szCs w:val="24"/>
          <w:lang w:val="en-US"/>
        </w:rPr>
        <w:t>.  For example, if each</w:t>
      </w:r>
      <w:r w:rsidR="00EB3B20">
        <w:rPr>
          <w:rFonts w:ascii="Times New Roman" w:hAnsi="Times New Roman" w:cs="Times New Roman"/>
          <w:sz w:val="24"/>
          <w:szCs w:val="24"/>
          <w:lang w:val="en-US"/>
        </w:rPr>
        <w:t xml:space="preserve"> </w:t>
      </w:r>
      <w:r w:rsidR="00990213">
        <w:rPr>
          <w:rFonts w:ascii="Times New Roman" w:hAnsi="Times New Roman" w:cs="Times New Roman"/>
          <w:sz w:val="24"/>
          <w:szCs w:val="24"/>
          <w:lang w:val="en-US"/>
        </w:rPr>
        <w:t xml:space="preserve">such person’s </w:t>
      </w:r>
      <w:r w:rsidR="00EB3B20">
        <w:rPr>
          <w:rFonts w:ascii="Times New Roman" w:hAnsi="Times New Roman" w:cs="Times New Roman"/>
          <w:sz w:val="24"/>
          <w:szCs w:val="24"/>
          <w:lang w:val="en-US"/>
        </w:rPr>
        <w:t xml:space="preserve">medical costs </w:t>
      </w:r>
      <w:r w:rsidR="00CD54C4">
        <w:rPr>
          <w:rFonts w:ascii="Times New Roman" w:hAnsi="Times New Roman" w:cs="Times New Roman"/>
          <w:sz w:val="24"/>
          <w:szCs w:val="24"/>
          <w:lang w:val="en-US"/>
        </w:rPr>
        <w:t>average $5,000</w:t>
      </w:r>
      <w:r w:rsidR="00025585">
        <w:rPr>
          <w:rFonts w:ascii="Times New Roman" w:hAnsi="Times New Roman" w:cs="Times New Roman"/>
          <w:sz w:val="24"/>
          <w:szCs w:val="24"/>
          <w:lang w:val="en-US"/>
        </w:rPr>
        <w:t xml:space="preserve"> per year</w:t>
      </w:r>
      <w:r w:rsidR="00EB3B20">
        <w:rPr>
          <w:rFonts w:ascii="Times New Roman" w:hAnsi="Times New Roman" w:cs="Times New Roman"/>
          <w:sz w:val="24"/>
          <w:szCs w:val="24"/>
          <w:lang w:val="en-US"/>
        </w:rPr>
        <w:t xml:space="preserve"> </w:t>
      </w:r>
      <w:r w:rsidR="0070002A">
        <w:rPr>
          <w:rFonts w:ascii="Times New Roman" w:hAnsi="Times New Roman" w:cs="Times New Roman"/>
          <w:sz w:val="24"/>
          <w:szCs w:val="24"/>
          <w:lang w:val="en-US"/>
        </w:rPr>
        <w:t>of their residual life</w:t>
      </w:r>
      <w:r w:rsidR="00025585">
        <w:rPr>
          <w:rFonts w:ascii="Times New Roman" w:hAnsi="Times New Roman" w:cs="Times New Roman"/>
          <w:sz w:val="24"/>
          <w:szCs w:val="24"/>
          <w:lang w:val="en-US"/>
        </w:rPr>
        <w:t xml:space="preserve">, the cost for </w:t>
      </w:r>
      <w:r w:rsidR="00FC3E5F">
        <w:rPr>
          <w:rFonts w:ascii="Times New Roman" w:hAnsi="Times New Roman" w:cs="Times New Roman"/>
          <w:sz w:val="24"/>
          <w:szCs w:val="24"/>
          <w:lang w:val="en-US"/>
        </w:rPr>
        <w:t>10,000</w:t>
      </w:r>
      <w:r w:rsidR="00C30599">
        <w:rPr>
          <w:rFonts w:ascii="Times New Roman" w:hAnsi="Times New Roman" w:cs="Times New Roman"/>
          <w:sz w:val="24"/>
          <w:szCs w:val="24"/>
          <w:lang w:val="en-US"/>
        </w:rPr>
        <w:t xml:space="preserve"> survivors (5</w:t>
      </w:r>
      <w:r w:rsidR="00025585">
        <w:rPr>
          <w:rFonts w:ascii="Times New Roman" w:hAnsi="Times New Roman" w:cs="Times New Roman"/>
          <w:sz w:val="24"/>
          <w:szCs w:val="24"/>
          <w:lang w:val="en-US"/>
        </w:rPr>
        <w:t xml:space="preserve"> times the estimated </w:t>
      </w:r>
      <w:r w:rsidR="001338B4">
        <w:rPr>
          <w:rFonts w:ascii="Times New Roman" w:hAnsi="Times New Roman" w:cs="Times New Roman"/>
          <w:sz w:val="24"/>
          <w:szCs w:val="24"/>
          <w:lang w:val="en-US"/>
        </w:rPr>
        <w:t xml:space="preserve">upper bound </w:t>
      </w:r>
      <w:r w:rsidR="005D2BE1">
        <w:rPr>
          <w:rFonts w:ascii="Times New Roman" w:hAnsi="Times New Roman" w:cs="Times New Roman"/>
          <w:sz w:val="24"/>
          <w:szCs w:val="24"/>
          <w:lang w:val="en-US"/>
        </w:rPr>
        <w:t xml:space="preserve">Covid-19 </w:t>
      </w:r>
      <w:r w:rsidR="00025585">
        <w:rPr>
          <w:rFonts w:ascii="Times New Roman" w:hAnsi="Times New Roman" w:cs="Times New Roman"/>
          <w:sz w:val="24"/>
          <w:szCs w:val="24"/>
          <w:lang w:val="en-US"/>
        </w:rPr>
        <w:t>deaths</w:t>
      </w:r>
      <w:r w:rsidR="00CC1BB8">
        <w:rPr>
          <w:rFonts w:ascii="Times New Roman" w:hAnsi="Times New Roman" w:cs="Times New Roman"/>
          <w:sz w:val="24"/>
          <w:szCs w:val="24"/>
          <w:lang w:val="en-US"/>
        </w:rPr>
        <w:t xml:space="preserve"> of 1,56</w:t>
      </w:r>
      <w:r w:rsidR="00FC3E5F">
        <w:rPr>
          <w:rFonts w:ascii="Times New Roman" w:hAnsi="Times New Roman" w:cs="Times New Roman"/>
          <w:sz w:val="24"/>
          <w:szCs w:val="24"/>
          <w:lang w:val="en-US"/>
        </w:rPr>
        <w:t>0</w:t>
      </w:r>
      <w:r w:rsidR="0080638E">
        <w:rPr>
          <w:rFonts w:ascii="Times New Roman" w:hAnsi="Times New Roman" w:cs="Times New Roman"/>
          <w:sz w:val="24"/>
          <w:szCs w:val="24"/>
          <w:lang w:val="en-US"/>
        </w:rPr>
        <w:t xml:space="preserve"> </w:t>
      </w:r>
      <w:r w:rsidR="00CC1BB8">
        <w:rPr>
          <w:rFonts w:ascii="Times New Roman" w:hAnsi="Times New Roman" w:cs="Times New Roman"/>
          <w:sz w:val="24"/>
          <w:szCs w:val="24"/>
          <w:lang w:val="en-US"/>
        </w:rPr>
        <w:t>+ 25 = 1,585</w:t>
      </w:r>
      <w:r w:rsidR="00EB3B20">
        <w:rPr>
          <w:rFonts w:ascii="Times New Roman" w:hAnsi="Times New Roman" w:cs="Times New Roman"/>
          <w:sz w:val="24"/>
          <w:szCs w:val="24"/>
          <w:lang w:val="en-US"/>
        </w:rPr>
        <w:t xml:space="preserve">) for </w:t>
      </w:r>
      <w:r w:rsidR="00CD54C4">
        <w:rPr>
          <w:rFonts w:ascii="Times New Roman" w:hAnsi="Times New Roman" w:cs="Times New Roman"/>
          <w:sz w:val="24"/>
          <w:szCs w:val="24"/>
          <w:lang w:val="en-US"/>
        </w:rPr>
        <w:t>10</w:t>
      </w:r>
      <w:r w:rsidR="0016058B">
        <w:rPr>
          <w:rFonts w:ascii="Times New Roman" w:hAnsi="Times New Roman" w:cs="Times New Roman"/>
          <w:sz w:val="24"/>
          <w:szCs w:val="24"/>
          <w:lang w:val="en-US"/>
        </w:rPr>
        <w:t xml:space="preserve"> </w:t>
      </w:r>
      <w:r w:rsidR="00025585">
        <w:rPr>
          <w:rFonts w:ascii="Times New Roman" w:hAnsi="Times New Roman" w:cs="Times New Roman"/>
          <w:sz w:val="24"/>
          <w:szCs w:val="24"/>
          <w:lang w:val="en-US"/>
        </w:rPr>
        <w:t xml:space="preserve">years each is </w:t>
      </w:r>
      <w:r w:rsidR="00ED2368">
        <w:rPr>
          <w:rFonts w:ascii="Times New Roman" w:hAnsi="Times New Roman" w:cs="Times New Roman"/>
          <w:sz w:val="24"/>
          <w:szCs w:val="24"/>
          <w:lang w:val="en-US"/>
        </w:rPr>
        <w:t>$0.4</w:t>
      </w:r>
      <w:r w:rsidR="00113C0D">
        <w:rPr>
          <w:rFonts w:ascii="Times New Roman" w:hAnsi="Times New Roman" w:cs="Times New Roman"/>
          <w:sz w:val="24"/>
          <w:szCs w:val="24"/>
          <w:lang w:val="en-US"/>
        </w:rPr>
        <w:t xml:space="preserve">b.  </w:t>
      </w:r>
      <w:r w:rsidR="00C21CEB">
        <w:rPr>
          <w:rFonts w:ascii="Times New Roman" w:hAnsi="Times New Roman" w:cs="Times New Roman"/>
          <w:sz w:val="24"/>
          <w:szCs w:val="24"/>
          <w:lang w:val="en-US"/>
        </w:rPr>
        <w:t xml:space="preserve">So, making </w:t>
      </w:r>
      <w:r w:rsidR="00AC0167">
        <w:rPr>
          <w:rFonts w:ascii="Times New Roman" w:hAnsi="Times New Roman" w:cs="Times New Roman"/>
          <w:sz w:val="24"/>
          <w:szCs w:val="24"/>
          <w:lang w:val="en-US"/>
        </w:rPr>
        <w:t xml:space="preserve">these </w:t>
      </w:r>
      <w:r w:rsidR="00C21CEB">
        <w:rPr>
          <w:rFonts w:ascii="Times New Roman" w:hAnsi="Times New Roman" w:cs="Times New Roman"/>
          <w:sz w:val="24"/>
          <w:szCs w:val="24"/>
          <w:lang w:val="en-US"/>
        </w:rPr>
        <w:t>adjustment</w:t>
      </w:r>
      <w:r w:rsidR="00AC0167">
        <w:rPr>
          <w:rFonts w:ascii="Times New Roman" w:hAnsi="Times New Roman" w:cs="Times New Roman"/>
          <w:sz w:val="24"/>
          <w:szCs w:val="24"/>
          <w:lang w:val="en-US"/>
        </w:rPr>
        <w:t xml:space="preserve">s to equation (4) </w:t>
      </w:r>
      <w:r w:rsidR="00C21CEB">
        <w:rPr>
          <w:rFonts w:ascii="Times New Roman" w:hAnsi="Times New Roman" w:cs="Times New Roman"/>
          <w:sz w:val="24"/>
          <w:szCs w:val="24"/>
          <w:lang w:val="en-US"/>
        </w:rPr>
        <w:t>re</w:t>
      </w:r>
      <w:r w:rsidR="006D2278">
        <w:rPr>
          <w:rFonts w:ascii="Times New Roman" w:hAnsi="Times New Roman" w:cs="Times New Roman"/>
          <w:sz w:val="24"/>
          <w:szCs w:val="24"/>
          <w:lang w:val="en-US"/>
        </w:rPr>
        <w:t xml:space="preserve">duces the cost per QALY </w:t>
      </w:r>
      <w:r w:rsidR="008D4240">
        <w:rPr>
          <w:rFonts w:ascii="Times New Roman" w:hAnsi="Times New Roman" w:cs="Times New Roman"/>
          <w:sz w:val="24"/>
          <w:szCs w:val="24"/>
          <w:lang w:val="en-US"/>
        </w:rPr>
        <w:t xml:space="preserve">as </w:t>
      </w:r>
      <w:r w:rsidR="00C21CEB">
        <w:rPr>
          <w:rFonts w:ascii="Times New Roman" w:hAnsi="Times New Roman" w:cs="Times New Roman"/>
          <w:sz w:val="24"/>
          <w:szCs w:val="24"/>
          <w:lang w:val="en-US"/>
        </w:rPr>
        <w:t>follo</w:t>
      </w:r>
      <w:r w:rsidR="00176DD8">
        <w:rPr>
          <w:rFonts w:ascii="Times New Roman" w:hAnsi="Times New Roman" w:cs="Times New Roman"/>
          <w:sz w:val="24"/>
          <w:szCs w:val="24"/>
          <w:lang w:val="en-US"/>
        </w:rPr>
        <w:t>ws:</w:t>
      </w:r>
    </w:p>
    <w:p w:rsidR="00C21CEB" w:rsidRDefault="00022317" w:rsidP="007C109B">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w:lastRenderedPageBreak/>
            <m:t>C=</m:t>
          </m:r>
          <m:f>
            <m:fPr>
              <m:ctrlPr>
                <w:rPr>
                  <w:rFonts w:ascii="Cambria Math" w:hAnsi="Cambria Math" w:cs="Times New Roman"/>
                  <w:i/>
                  <w:sz w:val="24"/>
                  <w:szCs w:val="24"/>
                  <w:lang w:val="en-US"/>
                </w:rPr>
              </m:ctrlPr>
            </m:fPr>
            <m:num>
              <m:r>
                <w:rPr>
                  <w:rFonts w:ascii="Cambria Math" w:hAnsi="Cambria Math" w:cs="Times New Roman"/>
                  <w:sz w:val="24"/>
                  <w:szCs w:val="24"/>
                  <w:lang w:val="en-US"/>
                </w:rPr>
                <m:t>$27b-N$0.2b-N$0.4b</m:t>
              </m:r>
            </m:num>
            <m:den>
              <m:r>
                <w:rPr>
                  <w:rFonts w:ascii="Cambria Math" w:hAnsi="Cambria Math" w:cs="Times New Roman"/>
                  <w:sz w:val="24"/>
                  <w:szCs w:val="24"/>
                  <w:lang w:val="en-US"/>
                </w:rPr>
                <m:t>6,240(2)N</m:t>
              </m:r>
            </m:den>
          </m:f>
        </m:oMath>
      </m:oMathPara>
    </w:p>
    <w:p w:rsidR="00C21CEB" w:rsidRDefault="00C21CEB" w:rsidP="007C109B">
      <w:pPr>
        <w:spacing w:after="0" w:line="360" w:lineRule="auto"/>
        <w:jc w:val="both"/>
        <w:rPr>
          <w:rFonts w:ascii="Times New Roman" w:hAnsi="Times New Roman" w:cs="Times New Roman"/>
          <w:sz w:val="24"/>
          <w:szCs w:val="24"/>
          <w:lang w:val="en-US"/>
        </w:rPr>
      </w:pPr>
    </w:p>
    <w:p w:rsidR="00132FE7" w:rsidRDefault="00132FE7" w:rsidP="00E862E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Thirdly, mitigation gives rise to work absences amongst those who are infected and must self-isolate.  </w:t>
      </w:r>
      <w:proofErr w:type="spellStart"/>
      <w:r w:rsidR="00E862ED">
        <w:rPr>
          <w:rFonts w:ascii="Times New Roman" w:hAnsi="Times New Roman" w:cs="Times New Roman"/>
          <w:sz w:val="24"/>
          <w:szCs w:val="24"/>
          <w:lang w:val="en-US"/>
        </w:rPr>
        <w:t>Gros</w:t>
      </w:r>
      <w:proofErr w:type="spellEnd"/>
      <w:r w:rsidR="00E862ED">
        <w:rPr>
          <w:rFonts w:ascii="Times New Roman" w:hAnsi="Times New Roman" w:cs="Times New Roman"/>
          <w:sz w:val="24"/>
          <w:szCs w:val="24"/>
          <w:lang w:val="en-US"/>
        </w:rPr>
        <w:t xml:space="preserve"> (2020, section 2.1) assumes all members of a population are infected, 30% require a work absence of four weeks and a further 20% require six weeks, leading to a G</w:t>
      </w:r>
      <w:r w:rsidR="009115B2">
        <w:rPr>
          <w:rFonts w:ascii="Times New Roman" w:hAnsi="Times New Roman" w:cs="Times New Roman"/>
          <w:sz w:val="24"/>
          <w:szCs w:val="24"/>
          <w:lang w:val="en-US"/>
        </w:rPr>
        <w:t>D</w:t>
      </w:r>
      <w:r>
        <w:rPr>
          <w:rFonts w:ascii="Times New Roman" w:hAnsi="Times New Roman" w:cs="Times New Roman"/>
          <w:sz w:val="24"/>
          <w:szCs w:val="24"/>
          <w:lang w:val="en-US"/>
        </w:rPr>
        <w:t>P loss of 5% of one year’s GDP:</w:t>
      </w:r>
    </w:p>
    <w:p w:rsidR="009115B2" w:rsidRDefault="009115B2" w:rsidP="00E862ED">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.30</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4</m:t>
                  </m:r>
                </m:num>
                <m:den>
                  <m:r>
                    <w:rPr>
                      <w:rFonts w:ascii="Cambria Math" w:hAnsi="Cambria Math" w:cs="Times New Roman"/>
                      <w:sz w:val="24"/>
                      <w:szCs w:val="24"/>
                      <w:lang w:val="en-US"/>
                    </w:rPr>
                    <m:t>52</m:t>
                  </m:r>
                </m:den>
              </m:f>
            </m:e>
          </m:d>
          <m:r>
            <w:rPr>
              <w:rFonts w:ascii="Cambria Math" w:hAnsi="Cambria Math" w:cs="Times New Roman"/>
              <w:sz w:val="24"/>
              <w:szCs w:val="24"/>
              <w:lang w:val="en-US"/>
            </w:rPr>
            <m:t>+.20</m:t>
          </m:r>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6</m:t>
                  </m:r>
                </m:num>
                <m:den>
                  <m:r>
                    <w:rPr>
                      <w:rFonts w:ascii="Cambria Math" w:hAnsi="Cambria Math" w:cs="Times New Roman"/>
                      <w:sz w:val="24"/>
                      <w:szCs w:val="24"/>
                      <w:lang w:val="en-US"/>
                    </w:rPr>
                    <m:t>52</m:t>
                  </m:r>
                </m:den>
              </m:f>
            </m:e>
          </m:d>
          <m:r>
            <w:rPr>
              <w:rFonts w:ascii="Cambria Math" w:hAnsi="Cambria Math" w:cs="Times New Roman"/>
              <w:sz w:val="24"/>
              <w:szCs w:val="24"/>
              <w:lang w:val="en-US"/>
            </w:rPr>
            <m:t>=.05</m:t>
          </m:r>
        </m:oMath>
      </m:oMathPara>
    </w:p>
    <w:p w:rsidR="009115B2" w:rsidRDefault="009115B2" w:rsidP="00E862ED">
      <w:pPr>
        <w:spacing w:after="0" w:line="360" w:lineRule="auto"/>
        <w:jc w:val="both"/>
        <w:rPr>
          <w:rFonts w:ascii="Times New Roman" w:hAnsi="Times New Roman" w:cs="Times New Roman"/>
          <w:sz w:val="24"/>
          <w:szCs w:val="24"/>
          <w:lang w:val="en-US"/>
        </w:rPr>
      </w:pPr>
    </w:p>
    <w:p w:rsidR="00411FB5" w:rsidRDefault="00E862ED" w:rsidP="003E1C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 the assumption that everyone in a population would become infected is excessive</w:t>
      </w:r>
      <w:r w:rsidR="00E46AA2">
        <w:rPr>
          <w:rFonts w:ascii="Times New Roman" w:hAnsi="Times New Roman" w:cs="Times New Roman"/>
          <w:sz w:val="24"/>
          <w:szCs w:val="24"/>
          <w:lang w:val="en-US"/>
        </w:rPr>
        <w:t xml:space="preserve">.  </w:t>
      </w:r>
      <w:r w:rsidR="00265737">
        <w:rPr>
          <w:rFonts w:ascii="Times New Roman" w:hAnsi="Times New Roman" w:cs="Times New Roman"/>
          <w:sz w:val="24"/>
          <w:szCs w:val="24"/>
          <w:lang w:val="en-US"/>
        </w:rPr>
        <w:t xml:space="preserve">As noted previously, </w:t>
      </w:r>
      <w:r w:rsidR="00E46AA2">
        <w:rPr>
          <w:rFonts w:ascii="Times New Roman" w:hAnsi="Times New Roman" w:cs="Times New Roman"/>
          <w:sz w:val="24"/>
          <w:szCs w:val="24"/>
          <w:lang w:val="en-US"/>
        </w:rPr>
        <w:t>Blakely et al (2020) estimate that the infection rate would not exceed 60% because the epidemic would by then peter out through herd immunity</w:t>
      </w:r>
      <w:r w:rsidR="009835C2">
        <w:rPr>
          <w:rFonts w:ascii="Times New Roman" w:hAnsi="Times New Roman" w:cs="Times New Roman"/>
          <w:sz w:val="24"/>
          <w:szCs w:val="24"/>
          <w:lang w:val="en-US"/>
        </w:rPr>
        <w:t xml:space="preserve">, Boyd (2020, page 3) adopts a base case of 40% based upon past pandemics, </w:t>
      </w:r>
      <w:r w:rsidR="00B3531E">
        <w:rPr>
          <w:rFonts w:ascii="Times New Roman" w:hAnsi="Times New Roman" w:cs="Times New Roman"/>
          <w:sz w:val="24"/>
          <w:szCs w:val="24"/>
          <w:lang w:val="en-US"/>
        </w:rPr>
        <w:t xml:space="preserve">and </w:t>
      </w:r>
      <w:proofErr w:type="spellStart"/>
      <w:r w:rsidR="009835C2">
        <w:rPr>
          <w:rFonts w:ascii="Times New Roman" w:hAnsi="Times New Roman" w:cs="Times New Roman"/>
          <w:sz w:val="24"/>
          <w:szCs w:val="24"/>
          <w:lang w:val="en-US"/>
        </w:rPr>
        <w:t>Aguas</w:t>
      </w:r>
      <w:proofErr w:type="spellEnd"/>
      <w:r w:rsidR="009835C2">
        <w:rPr>
          <w:rFonts w:ascii="Times New Roman" w:hAnsi="Times New Roman" w:cs="Times New Roman"/>
          <w:sz w:val="24"/>
          <w:szCs w:val="24"/>
          <w:lang w:val="en-US"/>
        </w:rPr>
        <w:t xml:space="preserve"> et al (2020) estimate</w:t>
      </w:r>
      <w:r w:rsidR="00B3531E">
        <w:rPr>
          <w:rFonts w:ascii="Times New Roman" w:hAnsi="Times New Roman" w:cs="Times New Roman"/>
          <w:sz w:val="24"/>
          <w:szCs w:val="24"/>
          <w:lang w:val="en-US"/>
        </w:rPr>
        <w:t>s an even lower rate</w:t>
      </w:r>
      <w:r w:rsidR="009835C2">
        <w:rPr>
          <w:rFonts w:ascii="Times New Roman" w:hAnsi="Times New Roman" w:cs="Times New Roman"/>
          <w:sz w:val="24"/>
          <w:szCs w:val="24"/>
          <w:lang w:val="en-US"/>
        </w:rPr>
        <w:t>.</w:t>
      </w:r>
      <w:r w:rsidR="00E46AA2">
        <w:rPr>
          <w:rFonts w:ascii="Times New Roman" w:hAnsi="Times New Roman" w:cs="Times New Roman"/>
          <w:sz w:val="24"/>
          <w:szCs w:val="24"/>
          <w:lang w:val="en-US"/>
        </w:rPr>
        <w:t xml:space="preserve">  Furthermore, </w:t>
      </w:r>
      <w:r w:rsidR="00F76488">
        <w:rPr>
          <w:rFonts w:ascii="Times New Roman" w:hAnsi="Times New Roman" w:cs="Times New Roman"/>
          <w:sz w:val="24"/>
          <w:szCs w:val="24"/>
          <w:lang w:val="en-US"/>
        </w:rPr>
        <w:t xml:space="preserve">even if </w:t>
      </w:r>
      <w:proofErr w:type="spellStart"/>
      <w:r w:rsidR="00E46AA2">
        <w:rPr>
          <w:rFonts w:ascii="Times New Roman" w:hAnsi="Times New Roman" w:cs="Times New Roman"/>
          <w:sz w:val="24"/>
          <w:szCs w:val="24"/>
          <w:lang w:val="en-US"/>
        </w:rPr>
        <w:t>Gros’s</w:t>
      </w:r>
      <w:proofErr w:type="spellEnd"/>
      <w:r w:rsidR="00E46AA2">
        <w:rPr>
          <w:rFonts w:ascii="Times New Roman" w:hAnsi="Times New Roman" w:cs="Times New Roman"/>
          <w:sz w:val="24"/>
          <w:szCs w:val="24"/>
          <w:lang w:val="en-US"/>
        </w:rPr>
        <w:t xml:space="preserve"> estimate of </w:t>
      </w:r>
      <w:r w:rsidR="00C5054E">
        <w:rPr>
          <w:rFonts w:ascii="Times New Roman" w:hAnsi="Times New Roman" w:cs="Times New Roman"/>
          <w:sz w:val="24"/>
          <w:szCs w:val="24"/>
          <w:lang w:val="en-US"/>
        </w:rPr>
        <w:t xml:space="preserve">50% of </w:t>
      </w:r>
      <w:r w:rsidR="00E46AA2">
        <w:rPr>
          <w:rFonts w:ascii="Times New Roman" w:hAnsi="Times New Roman" w:cs="Times New Roman"/>
          <w:sz w:val="24"/>
          <w:szCs w:val="24"/>
          <w:lang w:val="en-US"/>
        </w:rPr>
        <w:t>those infected r</w:t>
      </w:r>
      <w:r w:rsidR="00C5054E">
        <w:rPr>
          <w:rFonts w:ascii="Times New Roman" w:hAnsi="Times New Roman" w:cs="Times New Roman"/>
          <w:sz w:val="24"/>
          <w:szCs w:val="24"/>
          <w:lang w:val="en-US"/>
        </w:rPr>
        <w:t>eq</w:t>
      </w:r>
      <w:r w:rsidR="00B3531E">
        <w:rPr>
          <w:rFonts w:ascii="Times New Roman" w:hAnsi="Times New Roman" w:cs="Times New Roman"/>
          <w:sz w:val="24"/>
          <w:szCs w:val="24"/>
          <w:lang w:val="en-US"/>
        </w:rPr>
        <w:t>uiring a work absence were</w:t>
      </w:r>
      <w:r w:rsidR="00C5054E">
        <w:rPr>
          <w:rFonts w:ascii="Times New Roman" w:hAnsi="Times New Roman" w:cs="Times New Roman"/>
          <w:sz w:val="24"/>
          <w:szCs w:val="24"/>
          <w:lang w:val="en-US"/>
        </w:rPr>
        <w:t xml:space="preserve"> </w:t>
      </w:r>
      <w:r w:rsidR="00F76488">
        <w:rPr>
          <w:rFonts w:ascii="Times New Roman" w:hAnsi="Times New Roman" w:cs="Times New Roman"/>
          <w:sz w:val="24"/>
          <w:szCs w:val="24"/>
          <w:lang w:val="en-US"/>
        </w:rPr>
        <w:t>correct, this does not yield a proportionate decline in GDP for various reasons</w:t>
      </w:r>
      <w:r w:rsidR="00CA7783">
        <w:rPr>
          <w:rFonts w:ascii="Times New Roman" w:hAnsi="Times New Roman" w:cs="Times New Roman"/>
          <w:sz w:val="24"/>
          <w:szCs w:val="24"/>
          <w:lang w:val="en-US"/>
        </w:rPr>
        <w:t>.  In particular, m</w:t>
      </w:r>
      <w:r w:rsidR="00650DD9">
        <w:rPr>
          <w:rFonts w:ascii="Times New Roman" w:hAnsi="Times New Roman" w:cs="Times New Roman"/>
          <w:sz w:val="24"/>
          <w:szCs w:val="24"/>
          <w:lang w:val="en-US"/>
        </w:rPr>
        <w:t>any of the people required to isolate could still perform their work from home</w:t>
      </w:r>
      <w:r>
        <w:rPr>
          <w:rFonts w:ascii="Times New Roman" w:hAnsi="Times New Roman" w:cs="Times New Roman"/>
          <w:sz w:val="24"/>
          <w:szCs w:val="24"/>
          <w:lang w:val="en-US"/>
        </w:rPr>
        <w:t xml:space="preserve">.  </w:t>
      </w:r>
      <w:r w:rsidR="008A11DC">
        <w:rPr>
          <w:rFonts w:ascii="Times New Roman" w:hAnsi="Times New Roman" w:cs="Times New Roman"/>
          <w:sz w:val="24"/>
          <w:szCs w:val="24"/>
          <w:lang w:val="en-US"/>
        </w:rPr>
        <w:t xml:space="preserve">Furthermore, </w:t>
      </w:r>
      <w:r w:rsidR="006B016A">
        <w:rPr>
          <w:rFonts w:ascii="Times New Roman" w:hAnsi="Times New Roman" w:cs="Times New Roman"/>
          <w:sz w:val="24"/>
          <w:szCs w:val="24"/>
          <w:lang w:val="en-US"/>
        </w:rPr>
        <w:t xml:space="preserve">even where those isolated could not thereby perform their tasks for this period of weeks, other employees of the organization would </w:t>
      </w:r>
      <w:r w:rsidR="008A11DC">
        <w:rPr>
          <w:rFonts w:ascii="Times New Roman" w:hAnsi="Times New Roman" w:cs="Times New Roman"/>
          <w:sz w:val="24"/>
          <w:szCs w:val="24"/>
          <w:lang w:val="en-US"/>
        </w:rPr>
        <w:t xml:space="preserve">increase their productivity </w:t>
      </w:r>
      <w:r w:rsidR="000C2C3E">
        <w:rPr>
          <w:rFonts w:ascii="Times New Roman" w:hAnsi="Times New Roman" w:cs="Times New Roman"/>
          <w:sz w:val="24"/>
          <w:szCs w:val="24"/>
          <w:lang w:val="en-US"/>
        </w:rPr>
        <w:t xml:space="preserve">or hours of work </w:t>
      </w:r>
      <w:r w:rsidR="008A11DC">
        <w:rPr>
          <w:rFonts w:ascii="Times New Roman" w:hAnsi="Times New Roman" w:cs="Times New Roman"/>
          <w:sz w:val="24"/>
          <w:szCs w:val="24"/>
          <w:lang w:val="en-US"/>
        </w:rPr>
        <w:t xml:space="preserve">to </w:t>
      </w:r>
      <w:r w:rsidR="007241C5">
        <w:rPr>
          <w:rFonts w:ascii="Times New Roman" w:hAnsi="Times New Roman" w:cs="Times New Roman"/>
          <w:sz w:val="24"/>
          <w:szCs w:val="24"/>
          <w:lang w:val="en-US"/>
        </w:rPr>
        <w:t xml:space="preserve">at least partly </w:t>
      </w:r>
      <w:r w:rsidR="008A11DC">
        <w:rPr>
          <w:rFonts w:ascii="Times New Roman" w:hAnsi="Times New Roman" w:cs="Times New Roman"/>
          <w:sz w:val="24"/>
          <w:szCs w:val="24"/>
          <w:lang w:val="en-US"/>
        </w:rPr>
        <w:t>compensate</w:t>
      </w:r>
      <w:r w:rsidR="002A4206">
        <w:rPr>
          <w:rFonts w:ascii="Times New Roman" w:hAnsi="Times New Roman" w:cs="Times New Roman"/>
          <w:sz w:val="24"/>
          <w:szCs w:val="24"/>
          <w:lang w:val="en-US"/>
        </w:rPr>
        <w:t>,</w:t>
      </w:r>
      <w:r w:rsidR="008A11DC">
        <w:rPr>
          <w:rFonts w:ascii="Times New Roman" w:hAnsi="Times New Roman" w:cs="Times New Roman"/>
          <w:sz w:val="24"/>
          <w:szCs w:val="24"/>
          <w:lang w:val="en-US"/>
        </w:rPr>
        <w:t xml:space="preserve"> </w:t>
      </w:r>
      <w:r w:rsidR="007241C5">
        <w:rPr>
          <w:rFonts w:ascii="Times New Roman" w:hAnsi="Times New Roman" w:cs="Times New Roman"/>
          <w:sz w:val="24"/>
          <w:szCs w:val="24"/>
          <w:lang w:val="en-US"/>
        </w:rPr>
        <w:t>and/</w:t>
      </w:r>
      <w:r w:rsidR="008A11DC">
        <w:rPr>
          <w:rFonts w:ascii="Times New Roman" w:hAnsi="Times New Roman" w:cs="Times New Roman"/>
          <w:sz w:val="24"/>
          <w:szCs w:val="24"/>
          <w:lang w:val="en-US"/>
        </w:rPr>
        <w:t>or customers of the businesses</w:t>
      </w:r>
      <w:r w:rsidR="00735C7D">
        <w:rPr>
          <w:rFonts w:ascii="Times New Roman" w:hAnsi="Times New Roman" w:cs="Times New Roman"/>
          <w:sz w:val="24"/>
          <w:szCs w:val="24"/>
          <w:lang w:val="en-US"/>
        </w:rPr>
        <w:t xml:space="preserve"> </w:t>
      </w:r>
      <w:r w:rsidR="006B016A">
        <w:rPr>
          <w:rFonts w:ascii="Times New Roman" w:hAnsi="Times New Roman" w:cs="Times New Roman"/>
          <w:sz w:val="24"/>
          <w:szCs w:val="24"/>
          <w:lang w:val="en-US"/>
        </w:rPr>
        <w:t xml:space="preserve">would </w:t>
      </w:r>
      <w:r w:rsidR="00735C7D">
        <w:rPr>
          <w:rFonts w:ascii="Times New Roman" w:hAnsi="Times New Roman" w:cs="Times New Roman"/>
          <w:sz w:val="24"/>
          <w:szCs w:val="24"/>
          <w:lang w:val="en-US"/>
        </w:rPr>
        <w:t>experience longer wait times</w:t>
      </w:r>
      <w:r w:rsidR="000C2C3E">
        <w:rPr>
          <w:rFonts w:ascii="Times New Roman" w:hAnsi="Times New Roman" w:cs="Times New Roman"/>
          <w:sz w:val="24"/>
          <w:szCs w:val="24"/>
          <w:lang w:val="en-US"/>
        </w:rPr>
        <w:t xml:space="preserve"> with no loss of output</w:t>
      </w:r>
      <w:r w:rsidR="006B016A">
        <w:rPr>
          <w:rFonts w:ascii="Times New Roman" w:hAnsi="Times New Roman" w:cs="Times New Roman"/>
          <w:sz w:val="24"/>
          <w:szCs w:val="24"/>
          <w:lang w:val="en-US"/>
        </w:rPr>
        <w:t>, and/or the absent employee</w:t>
      </w:r>
      <w:r w:rsidR="0086248C">
        <w:rPr>
          <w:rFonts w:ascii="Times New Roman" w:hAnsi="Times New Roman" w:cs="Times New Roman"/>
          <w:sz w:val="24"/>
          <w:szCs w:val="24"/>
          <w:lang w:val="en-US"/>
        </w:rPr>
        <w:t>s</w:t>
      </w:r>
      <w:r w:rsidR="006B016A">
        <w:rPr>
          <w:rFonts w:ascii="Times New Roman" w:hAnsi="Times New Roman" w:cs="Times New Roman"/>
          <w:sz w:val="24"/>
          <w:szCs w:val="24"/>
          <w:lang w:val="en-US"/>
        </w:rPr>
        <w:t xml:space="preserve"> </w:t>
      </w:r>
      <w:r w:rsidR="00E46B70">
        <w:rPr>
          <w:rFonts w:ascii="Times New Roman" w:hAnsi="Times New Roman" w:cs="Times New Roman"/>
          <w:sz w:val="24"/>
          <w:szCs w:val="24"/>
          <w:lang w:val="en-US"/>
        </w:rPr>
        <w:t xml:space="preserve">would be </w:t>
      </w:r>
      <w:r w:rsidR="006B016A">
        <w:rPr>
          <w:rFonts w:ascii="Times New Roman" w:hAnsi="Times New Roman" w:cs="Times New Roman"/>
          <w:sz w:val="24"/>
          <w:szCs w:val="24"/>
          <w:lang w:val="en-US"/>
        </w:rPr>
        <w:t xml:space="preserve">able to perform </w:t>
      </w:r>
      <w:r w:rsidR="00E46B70">
        <w:rPr>
          <w:rFonts w:ascii="Times New Roman" w:hAnsi="Times New Roman" w:cs="Times New Roman"/>
          <w:sz w:val="24"/>
          <w:szCs w:val="24"/>
          <w:lang w:val="en-US"/>
        </w:rPr>
        <w:t xml:space="preserve">at least some of </w:t>
      </w:r>
      <w:r w:rsidR="006B016A">
        <w:rPr>
          <w:rFonts w:ascii="Times New Roman" w:hAnsi="Times New Roman" w:cs="Times New Roman"/>
          <w:sz w:val="24"/>
          <w:szCs w:val="24"/>
          <w:lang w:val="en-US"/>
        </w:rPr>
        <w:t>the work upon their return in addition to their normal workload</w:t>
      </w:r>
      <w:r w:rsidR="0086248C">
        <w:rPr>
          <w:rFonts w:ascii="Times New Roman" w:hAnsi="Times New Roman" w:cs="Times New Roman"/>
          <w:sz w:val="24"/>
          <w:szCs w:val="24"/>
          <w:lang w:val="en-US"/>
        </w:rPr>
        <w:t>s</w:t>
      </w:r>
      <w:r w:rsidR="008A11DC">
        <w:rPr>
          <w:rFonts w:ascii="Times New Roman" w:hAnsi="Times New Roman" w:cs="Times New Roman"/>
          <w:sz w:val="24"/>
          <w:szCs w:val="24"/>
          <w:lang w:val="en-US"/>
        </w:rPr>
        <w:t xml:space="preserve">.  </w:t>
      </w:r>
      <w:r w:rsidR="00BC5160">
        <w:rPr>
          <w:rFonts w:ascii="Times New Roman" w:hAnsi="Times New Roman" w:cs="Times New Roman"/>
          <w:sz w:val="24"/>
          <w:szCs w:val="24"/>
          <w:lang w:val="en-US"/>
        </w:rPr>
        <w:t xml:space="preserve">Accordingly, a </w:t>
      </w:r>
      <w:r w:rsidR="00314904">
        <w:rPr>
          <w:rFonts w:ascii="Times New Roman" w:hAnsi="Times New Roman" w:cs="Times New Roman"/>
          <w:sz w:val="24"/>
          <w:szCs w:val="24"/>
          <w:lang w:val="en-US"/>
        </w:rPr>
        <w:t xml:space="preserve">more </w:t>
      </w:r>
      <w:r w:rsidR="009835C2">
        <w:rPr>
          <w:rFonts w:ascii="Times New Roman" w:hAnsi="Times New Roman" w:cs="Times New Roman"/>
          <w:sz w:val="24"/>
          <w:szCs w:val="24"/>
          <w:lang w:val="en-US"/>
        </w:rPr>
        <w:t xml:space="preserve">reasonable estimate </w:t>
      </w:r>
      <w:r w:rsidR="00BC5160">
        <w:rPr>
          <w:rFonts w:ascii="Times New Roman" w:hAnsi="Times New Roman" w:cs="Times New Roman"/>
          <w:sz w:val="24"/>
          <w:szCs w:val="24"/>
          <w:lang w:val="en-US"/>
        </w:rPr>
        <w:t xml:space="preserve">of the GDP loss </w:t>
      </w:r>
      <w:r w:rsidR="00314904">
        <w:rPr>
          <w:rFonts w:ascii="Times New Roman" w:hAnsi="Times New Roman" w:cs="Times New Roman"/>
          <w:sz w:val="24"/>
          <w:szCs w:val="24"/>
          <w:lang w:val="en-US"/>
        </w:rPr>
        <w:t xml:space="preserve">than </w:t>
      </w:r>
      <w:proofErr w:type="spellStart"/>
      <w:r w:rsidR="00314904">
        <w:rPr>
          <w:rFonts w:ascii="Times New Roman" w:hAnsi="Times New Roman" w:cs="Times New Roman"/>
          <w:sz w:val="24"/>
          <w:szCs w:val="24"/>
          <w:lang w:val="en-US"/>
        </w:rPr>
        <w:t>Gros’s</w:t>
      </w:r>
      <w:proofErr w:type="spellEnd"/>
      <w:r w:rsidR="00314904">
        <w:rPr>
          <w:rFonts w:ascii="Times New Roman" w:hAnsi="Times New Roman" w:cs="Times New Roman"/>
          <w:sz w:val="24"/>
          <w:szCs w:val="24"/>
          <w:lang w:val="en-US"/>
        </w:rPr>
        <w:t xml:space="preserve"> </w:t>
      </w:r>
      <w:r w:rsidR="009835C2">
        <w:rPr>
          <w:rFonts w:ascii="Times New Roman" w:hAnsi="Times New Roman" w:cs="Times New Roman"/>
          <w:sz w:val="24"/>
          <w:szCs w:val="24"/>
          <w:lang w:val="en-US"/>
        </w:rPr>
        <w:t xml:space="preserve">would </w:t>
      </w:r>
      <w:r w:rsidR="00BC5160">
        <w:rPr>
          <w:rFonts w:ascii="Times New Roman" w:hAnsi="Times New Roman" w:cs="Times New Roman"/>
          <w:sz w:val="24"/>
          <w:szCs w:val="24"/>
          <w:lang w:val="en-US"/>
        </w:rPr>
        <w:t xml:space="preserve">involve </w:t>
      </w:r>
      <w:r w:rsidR="009835C2">
        <w:rPr>
          <w:rFonts w:ascii="Times New Roman" w:hAnsi="Times New Roman" w:cs="Times New Roman"/>
          <w:sz w:val="24"/>
          <w:szCs w:val="24"/>
          <w:lang w:val="en-US"/>
        </w:rPr>
        <w:t>4</w:t>
      </w:r>
      <w:r w:rsidR="001F47ED">
        <w:rPr>
          <w:rFonts w:ascii="Times New Roman" w:hAnsi="Times New Roman" w:cs="Times New Roman"/>
          <w:sz w:val="24"/>
          <w:szCs w:val="24"/>
          <w:lang w:val="en-US"/>
        </w:rPr>
        <w:t xml:space="preserve">0% </w:t>
      </w:r>
      <w:r w:rsidR="0086248C">
        <w:rPr>
          <w:rFonts w:ascii="Times New Roman" w:hAnsi="Times New Roman" w:cs="Times New Roman"/>
          <w:sz w:val="24"/>
          <w:szCs w:val="24"/>
          <w:lang w:val="en-US"/>
        </w:rPr>
        <w:t xml:space="preserve">of the population </w:t>
      </w:r>
      <w:r w:rsidR="009835C2">
        <w:rPr>
          <w:rFonts w:ascii="Times New Roman" w:hAnsi="Times New Roman" w:cs="Times New Roman"/>
          <w:sz w:val="24"/>
          <w:szCs w:val="24"/>
          <w:lang w:val="en-US"/>
        </w:rPr>
        <w:t xml:space="preserve">being </w:t>
      </w:r>
      <w:r w:rsidR="0086248C">
        <w:rPr>
          <w:rFonts w:ascii="Times New Roman" w:hAnsi="Times New Roman" w:cs="Times New Roman"/>
          <w:sz w:val="24"/>
          <w:szCs w:val="24"/>
          <w:lang w:val="en-US"/>
        </w:rPr>
        <w:t>infected</w:t>
      </w:r>
      <w:r w:rsidR="00F11B67">
        <w:rPr>
          <w:rFonts w:ascii="Times New Roman" w:hAnsi="Times New Roman" w:cs="Times New Roman"/>
          <w:sz w:val="24"/>
          <w:szCs w:val="24"/>
          <w:lang w:val="en-US"/>
        </w:rPr>
        <w:t>, and 30</w:t>
      </w:r>
      <w:r w:rsidR="001F47ED">
        <w:rPr>
          <w:rFonts w:ascii="Times New Roman" w:hAnsi="Times New Roman" w:cs="Times New Roman"/>
          <w:sz w:val="24"/>
          <w:szCs w:val="24"/>
          <w:lang w:val="en-US"/>
        </w:rPr>
        <w:t xml:space="preserve">% of those requiring isolation </w:t>
      </w:r>
      <w:r w:rsidR="009835C2">
        <w:rPr>
          <w:rFonts w:ascii="Times New Roman" w:hAnsi="Times New Roman" w:cs="Times New Roman"/>
          <w:sz w:val="24"/>
          <w:szCs w:val="24"/>
          <w:lang w:val="en-US"/>
        </w:rPr>
        <w:t xml:space="preserve">able to still </w:t>
      </w:r>
      <w:r w:rsidR="001F47ED">
        <w:rPr>
          <w:rFonts w:ascii="Times New Roman" w:hAnsi="Times New Roman" w:cs="Times New Roman"/>
          <w:sz w:val="24"/>
          <w:szCs w:val="24"/>
          <w:lang w:val="en-US"/>
        </w:rPr>
        <w:t xml:space="preserve">perform their jobs at home, </w:t>
      </w:r>
      <w:r w:rsidR="00C46E6D">
        <w:rPr>
          <w:rFonts w:ascii="Times New Roman" w:hAnsi="Times New Roman" w:cs="Times New Roman"/>
          <w:sz w:val="24"/>
          <w:szCs w:val="24"/>
          <w:lang w:val="en-US"/>
        </w:rPr>
        <w:t xml:space="preserve">and </w:t>
      </w:r>
      <w:r w:rsidR="00F11B67">
        <w:rPr>
          <w:rFonts w:ascii="Times New Roman" w:hAnsi="Times New Roman" w:cs="Times New Roman"/>
          <w:sz w:val="24"/>
          <w:szCs w:val="24"/>
          <w:lang w:val="en-US"/>
        </w:rPr>
        <w:t>75</w:t>
      </w:r>
      <w:r w:rsidR="00595CD5">
        <w:rPr>
          <w:rFonts w:ascii="Times New Roman" w:hAnsi="Times New Roman" w:cs="Times New Roman"/>
          <w:sz w:val="24"/>
          <w:szCs w:val="24"/>
          <w:lang w:val="en-US"/>
        </w:rPr>
        <w:t xml:space="preserve">% of the rest </w:t>
      </w:r>
      <w:r w:rsidR="009835C2">
        <w:rPr>
          <w:rFonts w:ascii="Times New Roman" w:hAnsi="Times New Roman" w:cs="Times New Roman"/>
          <w:sz w:val="24"/>
          <w:szCs w:val="24"/>
          <w:lang w:val="en-US"/>
        </w:rPr>
        <w:t xml:space="preserve">having </w:t>
      </w:r>
      <w:r w:rsidR="00595CD5">
        <w:rPr>
          <w:rFonts w:ascii="Times New Roman" w:hAnsi="Times New Roman" w:cs="Times New Roman"/>
          <w:sz w:val="24"/>
          <w:szCs w:val="24"/>
          <w:lang w:val="en-US"/>
        </w:rPr>
        <w:t>their work performed by others or by them upon their return</w:t>
      </w:r>
      <w:r w:rsidR="00845EE7">
        <w:rPr>
          <w:rFonts w:ascii="Times New Roman" w:hAnsi="Times New Roman" w:cs="Times New Roman"/>
          <w:sz w:val="24"/>
          <w:szCs w:val="24"/>
          <w:lang w:val="en-US"/>
        </w:rPr>
        <w:t xml:space="preserve"> to work</w:t>
      </w:r>
      <w:r w:rsidR="00FA6666">
        <w:rPr>
          <w:rFonts w:ascii="Times New Roman" w:hAnsi="Times New Roman" w:cs="Times New Roman"/>
          <w:sz w:val="24"/>
          <w:szCs w:val="24"/>
          <w:lang w:val="en-US"/>
        </w:rPr>
        <w:t xml:space="preserve"> or addressed through longer customer queues</w:t>
      </w:r>
      <w:r w:rsidR="00595CD5">
        <w:rPr>
          <w:rFonts w:ascii="Times New Roman" w:hAnsi="Times New Roman" w:cs="Times New Roman"/>
          <w:sz w:val="24"/>
          <w:szCs w:val="24"/>
          <w:lang w:val="en-US"/>
        </w:rPr>
        <w:t xml:space="preserve">.  The resulting GDP loss would then be </w:t>
      </w:r>
      <w:r w:rsidR="00845EE7">
        <w:rPr>
          <w:rFonts w:ascii="Times New Roman" w:hAnsi="Times New Roman" w:cs="Times New Roman"/>
          <w:sz w:val="24"/>
          <w:szCs w:val="24"/>
          <w:lang w:val="en-US"/>
        </w:rPr>
        <w:t xml:space="preserve">only </w:t>
      </w:r>
      <w:r w:rsidR="009835C2">
        <w:rPr>
          <w:rFonts w:ascii="Times New Roman" w:hAnsi="Times New Roman" w:cs="Times New Roman"/>
          <w:sz w:val="24"/>
          <w:szCs w:val="24"/>
          <w:lang w:val="en-US"/>
        </w:rPr>
        <w:t>5%*0.4</w:t>
      </w:r>
      <w:r w:rsidR="00595CD5">
        <w:rPr>
          <w:rFonts w:ascii="Times New Roman" w:hAnsi="Times New Roman" w:cs="Times New Roman"/>
          <w:sz w:val="24"/>
          <w:szCs w:val="24"/>
          <w:lang w:val="en-US"/>
        </w:rPr>
        <w:t>*</w:t>
      </w:r>
      <w:r w:rsidR="00347634">
        <w:rPr>
          <w:rFonts w:ascii="Times New Roman" w:hAnsi="Times New Roman" w:cs="Times New Roman"/>
          <w:sz w:val="24"/>
          <w:szCs w:val="24"/>
          <w:lang w:val="en-US"/>
        </w:rPr>
        <w:t>0.7</w:t>
      </w:r>
      <w:r w:rsidR="00595CD5">
        <w:rPr>
          <w:rFonts w:ascii="Times New Roman" w:hAnsi="Times New Roman" w:cs="Times New Roman"/>
          <w:sz w:val="24"/>
          <w:szCs w:val="24"/>
          <w:lang w:val="en-US"/>
        </w:rPr>
        <w:t>*</w:t>
      </w:r>
      <w:r w:rsidR="009835C2">
        <w:rPr>
          <w:rFonts w:ascii="Times New Roman" w:hAnsi="Times New Roman" w:cs="Times New Roman"/>
          <w:sz w:val="24"/>
          <w:szCs w:val="24"/>
          <w:lang w:val="en-US"/>
        </w:rPr>
        <w:t>0.25 = 0.35</w:t>
      </w:r>
      <w:r w:rsidR="00595CD5">
        <w:rPr>
          <w:rFonts w:ascii="Times New Roman" w:hAnsi="Times New Roman" w:cs="Times New Roman"/>
          <w:sz w:val="24"/>
          <w:szCs w:val="24"/>
          <w:lang w:val="en-US"/>
        </w:rPr>
        <w:t>% rather than 5%</w:t>
      </w:r>
      <w:r w:rsidR="00845EE7">
        <w:rPr>
          <w:rFonts w:ascii="Times New Roman" w:hAnsi="Times New Roman" w:cs="Times New Roman"/>
          <w:sz w:val="24"/>
          <w:szCs w:val="24"/>
          <w:lang w:val="en-US"/>
        </w:rPr>
        <w:t xml:space="preserve"> of one year’s GDP</w:t>
      </w:r>
      <w:r w:rsidR="00595CD5">
        <w:rPr>
          <w:rFonts w:ascii="Times New Roman" w:hAnsi="Times New Roman" w:cs="Times New Roman"/>
          <w:sz w:val="24"/>
          <w:szCs w:val="24"/>
          <w:lang w:val="en-US"/>
        </w:rPr>
        <w:t>.  In dollar terms this is $310b*</w:t>
      </w:r>
      <w:r w:rsidR="00E73E1E">
        <w:rPr>
          <w:rFonts w:ascii="Times New Roman" w:hAnsi="Times New Roman" w:cs="Times New Roman"/>
          <w:sz w:val="24"/>
          <w:szCs w:val="24"/>
          <w:lang w:val="en-US"/>
        </w:rPr>
        <w:t>0.0035</w:t>
      </w:r>
      <w:r w:rsidR="00595CD5">
        <w:rPr>
          <w:rFonts w:ascii="Times New Roman" w:hAnsi="Times New Roman" w:cs="Times New Roman"/>
          <w:sz w:val="24"/>
          <w:szCs w:val="24"/>
          <w:lang w:val="en-US"/>
        </w:rPr>
        <w:t xml:space="preserve"> = $</w:t>
      </w:r>
      <w:r w:rsidR="00E73E1E">
        <w:rPr>
          <w:rFonts w:ascii="Times New Roman" w:hAnsi="Times New Roman" w:cs="Times New Roman"/>
          <w:sz w:val="24"/>
          <w:szCs w:val="24"/>
          <w:lang w:val="en-US"/>
        </w:rPr>
        <w:t>1.1</w:t>
      </w:r>
      <w:r w:rsidR="00595CD5">
        <w:rPr>
          <w:rFonts w:ascii="Times New Roman" w:hAnsi="Times New Roman" w:cs="Times New Roman"/>
          <w:sz w:val="24"/>
          <w:szCs w:val="24"/>
          <w:lang w:val="en-US"/>
        </w:rPr>
        <w:t xml:space="preserve">b.  </w:t>
      </w:r>
      <w:r w:rsidR="003E1C25">
        <w:rPr>
          <w:rFonts w:ascii="Times New Roman" w:hAnsi="Times New Roman" w:cs="Times New Roman"/>
          <w:sz w:val="24"/>
          <w:szCs w:val="24"/>
          <w:lang w:val="en-US"/>
        </w:rPr>
        <w:t xml:space="preserve">Modifying the penultimate equation, the cost per QALY saved would be </w:t>
      </w:r>
      <w:r w:rsidR="009E626C">
        <w:rPr>
          <w:rFonts w:ascii="Times New Roman" w:hAnsi="Times New Roman" w:cs="Times New Roman"/>
          <w:sz w:val="24"/>
          <w:szCs w:val="24"/>
          <w:lang w:val="en-US"/>
        </w:rPr>
        <w:t xml:space="preserve">at least </w:t>
      </w:r>
      <w:r w:rsidR="003E1C25">
        <w:rPr>
          <w:rFonts w:ascii="Times New Roman" w:hAnsi="Times New Roman" w:cs="Times New Roman"/>
          <w:sz w:val="24"/>
          <w:szCs w:val="24"/>
          <w:lang w:val="en-US"/>
        </w:rPr>
        <w:t>as follows</w:t>
      </w:r>
      <w:r w:rsidR="00366097">
        <w:rPr>
          <w:rFonts w:ascii="Times New Roman" w:hAnsi="Times New Roman" w:cs="Times New Roman"/>
          <w:sz w:val="24"/>
          <w:szCs w:val="24"/>
          <w:lang w:val="en-US"/>
        </w:rPr>
        <w:t>:</w:t>
      </w:r>
    </w:p>
    <w:p w:rsidR="00FC218D" w:rsidRDefault="00FC218D" w:rsidP="00FC218D">
      <w:pPr>
        <w:spacing w:after="0" w:line="360" w:lineRule="auto"/>
        <w:jc w:val="both"/>
        <w:rPr>
          <w:rFonts w:ascii="Times New Roman" w:hAnsi="Times New Roman" w:cs="Times New Roman"/>
          <w:sz w:val="24"/>
          <w:szCs w:val="24"/>
          <w:lang w:val="en-US"/>
        </w:rPr>
      </w:pPr>
    </w:p>
    <w:p w:rsidR="00FC218D" w:rsidRDefault="00FC218D" w:rsidP="00FC218D">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m:t>
          </m:r>
          <m:f>
            <m:fPr>
              <m:ctrlPr>
                <w:rPr>
                  <w:rFonts w:ascii="Cambria Math" w:hAnsi="Cambria Math" w:cs="Times New Roman"/>
                  <w:i/>
                  <w:sz w:val="24"/>
                  <w:szCs w:val="24"/>
                  <w:lang w:val="en-US"/>
                </w:rPr>
              </m:ctrlPr>
            </m:fPr>
            <m:num>
              <m:r>
                <w:rPr>
                  <w:rFonts w:ascii="Cambria Math" w:hAnsi="Cambria Math" w:cs="Times New Roman"/>
                  <w:sz w:val="24"/>
                  <w:szCs w:val="24"/>
                  <w:lang w:val="en-US"/>
                </w:rPr>
                <m:t>$27b-$1.1b-$0.6bN</m:t>
              </m:r>
            </m:num>
            <m:den>
              <m:r>
                <w:rPr>
                  <w:rFonts w:ascii="Cambria Math" w:hAnsi="Cambria Math" w:cs="Times New Roman"/>
                  <w:sz w:val="24"/>
                  <w:szCs w:val="24"/>
                  <w:lang w:val="en-US"/>
                </w:rPr>
                <m:t>6,240(2)N</m:t>
              </m:r>
            </m:den>
          </m:f>
          <m:r>
            <w:rPr>
              <w:rFonts w:ascii="Cambria Math" w:hAnsi="Cambria Math" w:cs="Times New Roman"/>
              <w:sz w:val="24"/>
              <w:szCs w:val="24"/>
              <w:lang w:val="en-US"/>
            </w:rPr>
            <m:t xml:space="preserve">                                                      (5)</m:t>
          </m:r>
        </m:oMath>
      </m:oMathPara>
    </w:p>
    <w:p w:rsidR="00FC218D" w:rsidRDefault="00FC218D" w:rsidP="00FC218D">
      <w:pPr>
        <w:spacing w:after="0" w:line="360" w:lineRule="auto"/>
        <w:jc w:val="center"/>
        <w:rPr>
          <w:rFonts w:ascii="Times New Roman" w:hAnsi="Times New Roman" w:cs="Times New Roman"/>
          <w:sz w:val="24"/>
          <w:szCs w:val="24"/>
          <w:lang w:val="en-US"/>
        </w:rPr>
      </w:pPr>
    </w:p>
    <w:p w:rsidR="000E2A5F" w:rsidRDefault="00FC218D" w:rsidP="00445F7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Whether this exceeds the current QALY value of $62,000 depends upon the value of </w:t>
      </w:r>
      <w:r w:rsidRPr="00FC218D">
        <w:rPr>
          <w:rFonts w:ascii="Times New Roman" w:hAnsi="Times New Roman" w:cs="Times New Roman"/>
          <w:i/>
          <w:sz w:val="24"/>
          <w:szCs w:val="24"/>
          <w:lang w:val="en-US"/>
        </w:rPr>
        <w:t>N</w:t>
      </w:r>
      <w:r>
        <w:rPr>
          <w:rFonts w:ascii="Times New Roman" w:hAnsi="Times New Roman" w:cs="Times New Roman"/>
          <w:sz w:val="24"/>
          <w:szCs w:val="24"/>
          <w:lang w:val="en-US"/>
        </w:rPr>
        <w:t xml:space="preserve">.  At </w:t>
      </w:r>
      <w:r w:rsidRPr="0076442F">
        <w:rPr>
          <w:rFonts w:ascii="Times New Roman" w:hAnsi="Times New Roman" w:cs="Times New Roman"/>
          <w:i/>
          <w:sz w:val="24"/>
          <w:szCs w:val="24"/>
          <w:lang w:val="en-US"/>
        </w:rPr>
        <w:t>N</w:t>
      </w:r>
      <w:r>
        <w:rPr>
          <w:rFonts w:ascii="Times New Roman" w:hAnsi="Times New Roman" w:cs="Times New Roman"/>
          <w:sz w:val="24"/>
          <w:szCs w:val="24"/>
          <w:lang w:val="en-US"/>
        </w:rPr>
        <w:t xml:space="preserve"> = 2, the cost per QALY </w:t>
      </w:r>
      <w:r w:rsidR="005529D5">
        <w:rPr>
          <w:rFonts w:ascii="Times New Roman" w:hAnsi="Times New Roman" w:cs="Times New Roman"/>
          <w:sz w:val="24"/>
          <w:szCs w:val="24"/>
          <w:lang w:val="en-US"/>
        </w:rPr>
        <w:t xml:space="preserve">saved </w:t>
      </w:r>
      <w:r w:rsidR="00676BB6">
        <w:rPr>
          <w:rFonts w:ascii="Times New Roman" w:hAnsi="Times New Roman" w:cs="Times New Roman"/>
          <w:sz w:val="24"/>
          <w:szCs w:val="24"/>
          <w:lang w:val="en-US"/>
        </w:rPr>
        <w:t xml:space="preserve">would be </w:t>
      </w:r>
      <w:r>
        <w:rPr>
          <w:rFonts w:ascii="Times New Roman" w:hAnsi="Times New Roman" w:cs="Times New Roman"/>
          <w:sz w:val="24"/>
          <w:szCs w:val="24"/>
          <w:lang w:val="en-US"/>
        </w:rPr>
        <w:t>$0.99m, which is vastly in excess</w:t>
      </w:r>
      <w:r w:rsidR="0076442F">
        <w:rPr>
          <w:rFonts w:ascii="Times New Roman" w:hAnsi="Times New Roman" w:cs="Times New Roman"/>
          <w:sz w:val="24"/>
          <w:szCs w:val="24"/>
          <w:lang w:val="en-US"/>
        </w:rPr>
        <w:t xml:space="preserve"> of the currently employed value.  In fact, </w:t>
      </w:r>
      <w:r w:rsidR="0076442F" w:rsidRPr="0076442F">
        <w:rPr>
          <w:rFonts w:ascii="Times New Roman" w:hAnsi="Times New Roman" w:cs="Times New Roman"/>
          <w:i/>
          <w:sz w:val="24"/>
          <w:szCs w:val="24"/>
          <w:lang w:val="en-US"/>
        </w:rPr>
        <w:t>N</w:t>
      </w:r>
      <w:r w:rsidR="0076442F">
        <w:rPr>
          <w:rFonts w:ascii="Times New Roman" w:hAnsi="Times New Roman" w:cs="Times New Roman"/>
          <w:sz w:val="24"/>
          <w:szCs w:val="24"/>
          <w:lang w:val="en-US"/>
        </w:rPr>
        <w:t xml:space="preserve"> would have to be 19 before the cost per QALY in equation (5) </w:t>
      </w:r>
      <w:r w:rsidR="00676BB6">
        <w:rPr>
          <w:rFonts w:ascii="Times New Roman" w:hAnsi="Times New Roman" w:cs="Times New Roman"/>
          <w:sz w:val="24"/>
          <w:szCs w:val="24"/>
          <w:lang w:val="en-US"/>
        </w:rPr>
        <w:t xml:space="preserve">fell to </w:t>
      </w:r>
      <w:r w:rsidR="0076442F">
        <w:rPr>
          <w:rFonts w:ascii="Times New Roman" w:hAnsi="Times New Roman" w:cs="Times New Roman"/>
          <w:sz w:val="24"/>
          <w:szCs w:val="24"/>
          <w:lang w:val="en-US"/>
        </w:rPr>
        <w:t xml:space="preserve">$62,000, </w:t>
      </w:r>
      <w:r w:rsidR="001140E0">
        <w:rPr>
          <w:rFonts w:ascii="Times New Roman" w:hAnsi="Times New Roman" w:cs="Times New Roman"/>
          <w:sz w:val="24"/>
          <w:szCs w:val="24"/>
          <w:lang w:val="en-US"/>
        </w:rPr>
        <w:t xml:space="preserve">or 11 to reach a cost per QALY of $146,000, </w:t>
      </w:r>
      <w:r w:rsidR="0076442F">
        <w:rPr>
          <w:rFonts w:ascii="Times New Roman" w:hAnsi="Times New Roman" w:cs="Times New Roman"/>
          <w:sz w:val="24"/>
          <w:szCs w:val="24"/>
          <w:lang w:val="en-US"/>
        </w:rPr>
        <w:t xml:space="preserve">i.e., the eventual death toll in Europe from the pandemic would have to be 19 </w:t>
      </w:r>
      <w:r w:rsidR="001140E0">
        <w:rPr>
          <w:rFonts w:ascii="Times New Roman" w:hAnsi="Times New Roman" w:cs="Times New Roman"/>
          <w:sz w:val="24"/>
          <w:szCs w:val="24"/>
          <w:lang w:val="en-US"/>
        </w:rPr>
        <w:t xml:space="preserve">(or 11) </w:t>
      </w:r>
      <w:r w:rsidR="0076442F">
        <w:rPr>
          <w:rFonts w:ascii="Times New Roman" w:hAnsi="Times New Roman" w:cs="Times New Roman"/>
          <w:sz w:val="24"/>
          <w:szCs w:val="24"/>
          <w:lang w:val="en-US"/>
        </w:rPr>
        <w:t>times the death toll</w:t>
      </w:r>
      <w:r w:rsidR="000E2A5F">
        <w:rPr>
          <w:rFonts w:ascii="Times New Roman" w:hAnsi="Times New Roman" w:cs="Times New Roman"/>
          <w:sz w:val="24"/>
          <w:szCs w:val="24"/>
          <w:lang w:val="en-US"/>
        </w:rPr>
        <w:t xml:space="preserve"> to date (30 November)</w:t>
      </w:r>
      <w:r w:rsidR="0076442F">
        <w:rPr>
          <w:rFonts w:ascii="Times New Roman" w:hAnsi="Times New Roman" w:cs="Times New Roman"/>
          <w:sz w:val="24"/>
          <w:szCs w:val="24"/>
          <w:lang w:val="en-US"/>
        </w:rPr>
        <w:t xml:space="preserve">.  </w:t>
      </w:r>
      <w:r w:rsidR="001140E0">
        <w:rPr>
          <w:rFonts w:ascii="Times New Roman" w:hAnsi="Times New Roman" w:cs="Times New Roman"/>
          <w:sz w:val="24"/>
          <w:szCs w:val="24"/>
          <w:lang w:val="en-US"/>
        </w:rPr>
        <w:t xml:space="preserve">Even the lower multiple of 11 </w:t>
      </w:r>
      <w:r w:rsidR="0076442F">
        <w:rPr>
          <w:rFonts w:ascii="Times New Roman" w:hAnsi="Times New Roman" w:cs="Times New Roman"/>
          <w:sz w:val="24"/>
          <w:szCs w:val="24"/>
          <w:lang w:val="en-US"/>
        </w:rPr>
        <w:t xml:space="preserve">seems very unlikely.  </w:t>
      </w:r>
      <w:r w:rsidR="0055532D">
        <w:rPr>
          <w:rFonts w:ascii="Times New Roman" w:hAnsi="Times New Roman" w:cs="Times New Roman"/>
          <w:sz w:val="24"/>
          <w:szCs w:val="24"/>
          <w:lang w:val="en-US"/>
        </w:rPr>
        <w:t xml:space="preserve">To gain some sense about the </w:t>
      </w:r>
      <w:r w:rsidR="0082666F">
        <w:rPr>
          <w:rFonts w:ascii="Times New Roman" w:hAnsi="Times New Roman" w:cs="Times New Roman"/>
          <w:sz w:val="24"/>
          <w:szCs w:val="24"/>
          <w:lang w:val="en-US"/>
        </w:rPr>
        <w:t xml:space="preserve">plausibility </w:t>
      </w:r>
      <w:r w:rsidR="0055532D">
        <w:rPr>
          <w:rFonts w:ascii="Times New Roman" w:hAnsi="Times New Roman" w:cs="Times New Roman"/>
          <w:sz w:val="24"/>
          <w:szCs w:val="24"/>
          <w:lang w:val="en-US"/>
        </w:rPr>
        <w:t xml:space="preserve">of such </w:t>
      </w:r>
      <w:r w:rsidR="00A705EA">
        <w:rPr>
          <w:rFonts w:ascii="Times New Roman" w:hAnsi="Times New Roman" w:cs="Times New Roman"/>
          <w:sz w:val="24"/>
          <w:szCs w:val="24"/>
          <w:lang w:val="en-US"/>
        </w:rPr>
        <w:t>a value</w:t>
      </w:r>
      <w:r w:rsidR="0055532D">
        <w:rPr>
          <w:rFonts w:ascii="Times New Roman" w:hAnsi="Times New Roman" w:cs="Times New Roman"/>
          <w:sz w:val="24"/>
          <w:szCs w:val="24"/>
          <w:lang w:val="en-US"/>
        </w:rPr>
        <w:t xml:space="preserve"> of </w:t>
      </w:r>
      <w:r w:rsidR="0055532D" w:rsidRPr="0055532D">
        <w:rPr>
          <w:rFonts w:ascii="Times New Roman" w:hAnsi="Times New Roman" w:cs="Times New Roman"/>
          <w:i/>
          <w:sz w:val="24"/>
          <w:szCs w:val="24"/>
          <w:lang w:val="en-US"/>
        </w:rPr>
        <w:t>N</w:t>
      </w:r>
      <w:r w:rsidR="0055532D">
        <w:rPr>
          <w:rFonts w:ascii="Times New Roman" w:hAnsi="Times New Roman" w:cs="Times New Roman"/>
          <w:sz w:val="24"/>
          <w:szCs w:val="24"/>
          <w:lang w:val="en-US"/>
        </w:rPr>
        <w:t>, suppose that mass vaccination is one year away (from 30 November</w:t>
      </w:r>
      <w:r w:rsidR="0082666F">
        <w:rPr>
          <w:rFonts w:ascii="Times New Roman" w:hAnsi="Times New Roman" w:cs="Times New Roman"/>
          <w:sz w:val="24"/>
          <w:szCs w:val="24"/>
          <w:lang w:val="en-US"/>
        </w:rPr>
        <w:t xml:space="preserve"> 2020</w:t>
      </w:r>
      <w:r w:rsidR="0055532D">
        <w:rPr>
          <w:rFonts w:ascii="Times New Roman" w:hAnsi="Times New Roman" w:cs="Times New Roman"/>
          <w:sz w:val="24"/>
          <w:szCs w:val="24"/>
          <w:lang w:val="en-US"/>
        </w:rPr>
        <w:t>).</w:t>
      </w:r>
      <w:r w:rsidR="00D4352C">
        <w:rPr>
          <w:rStyle w:val="FootnoteReference"/>
          <w:rFonts w:ascii="Times New Roman" w:hAnsi="Times New Roman" w:cs="Times New Roman"/>
          <w:sz w:val="24"/>
          <w:szCs w:val="24"/>
          <w:lang w:val="en-US"/>
        </w:rPr>
        <w:footnoteReference w:id="25"/>
      </w:r>
      <w:r w:rsidR="0055532D">
        <w:rPr>
          <w:rFonts w:ascii="Times New Roman" w:hAnsi="Times New Roman" w:cs="Times New Roman"/>
          <w:sz w:val="24"/>
          <w:szCs w:val="24"/>
          <w:lang w:val="en-US"/>
        </w:rPr>
        <w:t xml:space="preserve">  So, for </w:t>
      </w:r>
      <w:r w:rsidR="0055532D" w:rsidRPr="0055532D">
        <w:rPr>
          <w:rFonts w:ascii="Times New Roman" w:hAnsi="Times New Roman" w:cs="Times New Roman"/>
          <w:i/>
          <w:sz w:val="24"/>
          <w:szCs w:val="24"/>
          <w:lang w:val="en-US"/>
        </w:rPr>
        <w:t>N</w:t>
      </w:r>
      <w:r w:rsidR="0055532D">
        <w:rPr>
          <w:rFonts w:ascii="Times New Roman" w:hAnsi="Times New Roman" w:cs="Times New Roman"/>
          <w:sz w:val="24"/>
          <w:szCs w:val="24"/>
          <w:lang w:val="en-US"/>
        </w:rPr>
        <w:t xml:space="preserve"> = 11 to prevail, the expected loss in lives </w:t>
      </w:r>
      <w:r w:rsidR="00D56421">
        <w:rPr>
          <w:rFonts w:ascii="Times New Roman" w:hAnsi="Times New Roman" w:cs="Times New Roman"/>
          <w:sz w:val="24"/>
          <w:szCs w:val="24"/>
          <w:lang w:val="en-US"/>
        </w:rPr>
        <w:t xml:space="preserve">in Europe </w:t>
      </w:r>
      <w:r w:rsidR="0055532D">
        <w:rPr>
          <w:rFonts w:ascii="Times New Roman" w:hAnsi="Times New Roman" w:cs="Times New Roman"/>
          <w:sz w:val="24"/>
          <w:szCs w:val="24"/>
          <w:lang w:val="en-US"/>
        </w:rPr>
        <w:t xml:space="preserve">over the next year </w:t>
      </w:r>
      <w:r w:rsidR="00D56421">
        <w:rPr>
          <w:rFonts w:ascii="Times New Roman" w:hAnsi="Times New Roman" w:cs="Times New Roman"/>
          <w:sz w:val="24"/>
          <w:szCs w:val="24"/>
          <w:lang w:val="en-US"/>
        </w:rPr>
        <w:t xml:space="preserve">would </w:t>
      </w:r>
      <w:r w:rsidR="0055532D">
        <w:rPr>
          <w:rFonts w:ascii="Times New Roman" w:hAnsi="Times New Roman" w:cs="Times New Roman"/>
          <w:sz w:val="24"/>
          <w:szCs w:val="24"/>
          <w:lang w:val="en-US"/>
        </w:rPr>
        <w:t xml:space="preserve">have to be 11 times that for the </w:t>
      </w:r>
      <w:r w:rsidR="00D56421">
        <w:rPr>
          <w:rFonts w:ascii="Times New Roman" w:hAnsi="Times New Roman" w:cs="Times New Roman"/>
          <w:sz w:val="24"/>
          <w:szCs w:val="24"/>
          <w:lang w:val="en-US"/>
        </w:rPr>
        <w:t xml:space="preserve">nine </w:t>
      </w:r>
      <w:r w:rsidR="0055532D">
        <w:rPr>
          <w:rFonts w:ascii="Times New Roman" w:hAnsi="Times New Roman" w:cs="Times New Roman"/>
          <w:sz w:val="24"/>
          <w:szCs w:val="24"/>
          <w:lang w:val="en-US"/>
        </w:rPr>
        <w:t>months up to 30 November (</w:t>
      </w:r>
      <w:r w:rsidR="00D56421">
        <w:rPr>
          <w:rFonts w:ascii="Times New Roman" w:hAnsi="Times New Roman" w:cs="Times New Roman"/>
          <w:sz w:val="24"/>
          <w:szCs w:val="24"/>
          <w:lang w:val="en-US"/>
        </w:rPr>
        <w:t>since the first deaths in Europe in late February</w:t>
      </w:r>
      <w:r w:rsidR="0055532D">
        <w:rPr>
          <w:rFonts w:ascii="Times New Roman" w:hAnsi="Times New Roman" w:cs="Times New Roman"/>
          <w:sz w:val="24"/>
          <w:szCs w:val="24"/>
          <w:lang w:val="en-US"/>
        </w:rPr>
        <w:t xml:space="preserve">), which would require a daily death rate </w:t>
      </w:r>
      <w:r w:rsidR="009229BB">
        <w:rPr>
          <w:rFonts w:ascii="Times New Roman" w:hAnsi="Times New Roman" w:cs="Times New Roman"/>
          <w:sz w:val="24"/>
          <w:szCs w:val="24"/>
          <w:lang w:val="en-US"/>
        </w:rPr>
        <w:t xml:space="preserve">over the next year that is </w:t>
      </w:r>
      <w:r w:rsidR="00D56421">
        <w:rPr>
          <w:rFonts w:ascii="Times New Roman" w:hAnsi="Times New Roman" w:cs="Times New Roman"/>
          <w:sz w:val="24"/>
          <w:szCs w:val="24"/>
          <w:lang w:val="en-US"/>
        </w:rPr>
        <w:t>8</w:t>
      </w:r>
      <w:r w:rsidR="0055532D">
        <w:rPr>
          <w:rFonts w:ascii="Times New Roman" w:hAnsi="Times New Roman" w:cs="Times New Roman"/>
          <w:sz w:val="24"/>
          <w:szCs w:val="24"/>
          <w:lang w:val="en-US"/>
        </w:rPr>
        <w:t xml:space="preserve"> times that for the nine months up to 30 November.</w:t>
      </w:r>
      <w:r w:rsidR="0082666F">
        <w:rPr>
          <w:rFonts w:ascii="Times New Roman" w:hAnsi="Times New Roman" w:cs="Times New Roman"/>
          <w:sz w:val="24"/>
          <w:szCs w:val="24"/>
          <w:lang w:val="en-US"/>
        </w:rPr>
        <w:t xml:space="preserve">  This does not seem plausible.</w:t>
      </w:r>
      <w:r w:rsidR="008C26DF">
        <w:rPr>
          <w:rFonts w:ascii="Times New Roman" w:hAnsi="Times New Roman" w:cs="Times New Roman"/>
          <w:sz w:val="24"/>
          <w:szCs w:val="24"/>
          <w:lang w:val="en-US"/>
        </w:rPr>
        <w:t xml:space="preserve">  Furthermore, the cross-country average daily average death rate per 1m over the last nine months (to 30 November) has been 4</w:t>
      </w:r>
      <w:r w:rsidR="00D56421">
        <w:rPr>
          <w:rFonts w:ascii="Times New Roman" w:hAnsi="Times New Roman" w:cs="Times New Roman"/>
          <w:sz w:val="24"/>
          <w:szCs w:val="24"/>
          <w:lang w:val="en-US"/>
        </w:rPr>
        <w:t>50/270 = 1.7, and 8 times this is therefore 13 per day</w:t>
      </w:r>
      <w:r w:rsidR="008C26DF">
        <w:rPr>
          <w:rFonts w:ascii="Times New Roman" w:hAnsi="Times New Roman" w:cs="Times New Roman"/>
          <w:sz w:val="24"/>
          <w:szCs w:val="24"/>
          <w:lang w:val="en-US"/>
        </w:rPr>
        <w:t xml:space="preserve">.  </w:t>
      </w:r>
      <w:r w:rsidR="00D56421">
        <w:rPr>
          <w:rFonts w:ascii="Times New Roman" w:hAnsi="Times New Roman" w:cs="Times New Roman"/>
          <w:sz w:val="24"/>
          <w:szCs w:val="24"/>
          <w:lang w:val="en-US"/>
        </w:rPr>
        <w:t xml:space="preserve">By contrast, over </w:t>
      </w:r>
      <w:r w:rsidR="008C26DF">
        <w:rPr>
          <w:rFonts w:ascii="Times New Roman" w:hAnsi="Times New Roman" w:cs="Times New Roman"/>
          <w:sz w:val="24"/>
          <w:szCs w:val="24"/>
          <w:lang w:val="en-US"/>
        </w:rPr>
        <w:t xml:space="preserve">the past </w:t>
      </w:r>
      <w:r w:rsidR="00D56421">
        <w:rPr>
          <w:rFonts w:ascii="Times New Roman" w:hAnsi="Times New Roman" w:cs="Times New Roman"/>
          <w:sz w:val="24"/>
          <w:szCs w:val="24"/>
          <w:lang w:val="en-US"/>
        </w:rPr>
        <w:t xml:space="preserve">month (31 October to 30 November), </w:t>
      </w:r>
      <w:r w:rsidR="008C26DF">
        <w:rPr>
          <w:rFonts w:ascii="Times New Roman" w:hAnsi="Times New Roman" w:cs="Times New Roman"/>
          <w:sz w:val="24"/>
          <w:szCs w:val="24"/>
          <w:lang w:val="en-US"/>
        </w:rPr>
        <w:t xml:space="preserve">during which the </w:t>
      </w:r>
      <w:r w:rsidR="00535478">
        <w:rPr>
          <w:rFonts w:ascii="Times New Roman" w:hAnsi="Times New Roman" w:cs="Times New Roman"/>
          <w:sz w:val="24"/>
          <w:szCs w:val="24"/>
          <w:lang w:val="en-US"/>
        </w:rPr>
        <w:t xml:space="preserve">daily </w:t>
      </w:r>
      <w:r w:rsidR="008C26DF">
        <w:rPr>
          <w:rFonts w:ascii="Times New Roman" w:hAnsi="Times New Roman" w:cs="Times New Roman"/>
          <w:sz w:val="24"/>
          <w:szCs w:val="24"/>
          <w:lang w:val="en-US"/>
        </w:rPr>
        <w:t xml:space="preserve">death rate in Europe has </w:t>
      </w:r>
      <w:r w:rsidR="00D56421">
        <w:rPr>
          <w:rFonts w:ascii="Times New Roman" w:hAnsi="Times New Roman" w:cs="Times New Roman"/>
          <w:sz w:val="24"/>
          <w:szCs w:val="24"/>
          <w:lang w:val="en-US"/>
        </w:rPr>
        <w:t xml:space="preserve">been substantially higher than for the previous few months, </w:t>
      </w:r>
      <w:r w:rsidR="008C26DF">
        <w:rPr>
          <w:rFonts w:ascii="Times New Roman" w:hAnsi="Times New Roman" w:cs="Times New Roman"/>
          <w:sz w:val="24"/>
          <w:szCs w:val="24"/>
          <w:lang w:val="en-US"/>
        </w:rPr>
        <w:t xml:space="preserve">the cross-country average </w:t>
      </w:r>
      <w:r w:rsidR="00D56421">
        <w:rPr>
          <w:rFonts w:ascii="Times New Roman" w:hAnsi="Times New Roman" w:cs="Times New Roman"/>
          <w:sz w:val="24"/>
          <w:szCs w:val="24"/>
          <w:lang w:val="en-US"/>
        </w:rPr>
        <w:t xml:space="preserve">death rate per 1m </w:t>
      </w:r>
      <w:r w:rsidR="008C26DF">
        <w:rPr>
          <w:rFonts w:ascii="Times New Roman" w:hAnsi="Times New Roman" w:cs="Times New Roman"/>
          <w:sz w:val="24"/>
          <w:szCs w:val="24"/>
          <w:lang w:val="en-US"/>
        </w:rPr>
        <w:t xml:space="preserve">for </w:t>
      </w:r>
      <w:r w:rsidR="00D56421">
        <w:rPr>
          <w:rFonts w:ascii="Times New Roman" w:hAnsi="Times New Roman" w:cs="Times New Roman"/>
          <w:sz w:val="24"/>
          <w:szCs w:val="24"/>
          <w:lang w:val="en-US"/>
        </w:rPr>
        <w:t xml:space="preserve">these </w:t>
      </w:r>
      <w:r w:rsidR="008C26DF">
        <w:rPr>
          <w:rFonts w:ascii="Times New Roman" w:hAnsi="Times New Roman" w:cs="Times New Roman"/>
          <w:sz w:val="24"/>
          <w:szCs w:val="24"/>
          <w:lang w:val="en-US"/>
        </w:rPr>
        <w:t xml:space="preserve">countries has gone from </w:t>
      </w:r>
      <w:r w:rsidR="00D56421">
        <w:rPr>
          <w:rFonts w:ascii="Times New Roman" w:hAnsi="Times New Roman" w:cs="Times New Roman"/>
          <w:sz w:val="24"/>
          <w:szCs w:val="24"/>
          <w:lang w:val="en-US"/>
        </w:rPr>
        <w:t xml:space="preserve">256 </w:t>
      </w:r>
      <w:r w:rsidR="00535478">
        <w:rPr>
          <w:rFonts w:ascii="Times New Roman" w:hAnsi="Times New Roman" w:cs="Times New Roman"/>
          <w:sz w:val="24"/>
          <w:szCs w:val="24"/>
          <w:lang w:val="en-US"/>
        </w:rPr>
        <w:t xml:space="preserve">(up to 31 October) </w:t>
      </w:r>
      <w:r w:rsidR="008C26DF">
        <w:rPr>
          <w:rFonts w:ascii="Times New Roman" w:hAnsi="Times New Roman" w:cs="Times New Roman"/>
          <w:sz w:val="24"/>
          <w:szCs w:val="24"/>
          <w:lang w:val="en-US"/>
        </w:rPr>
        <w:t>to 450</w:t>
      </w:r>
      <w:r w:rsidR="00535478">
        <w:rPr>
          <w:rFonts w:ascii="Times New Roman" w:hAnsi="Times New Roman" w:cs="Times New Roman"/>
          <w:sz w:val="24"/>
          <w:szCs w:val="24"/>
          <w:lang w:val="en-US"/>
        </w:rPr>
        <w:t xml:space="preserve"> (up to 30 November)</w:t>
      </w:r>
      <w:r w:rsidR="008C26DF">
        <w:rPr>
          <w:rFonts w:ascii="Times New Roman" w:hAnsi="Times New Roman" w:cs="Times New Roman"/>
          <w:sz w:val="24"/>
          <w:szCs w:val="24"/>
          <w:lang w:val="en-US"/>
        </w:rPr>
        <w:t>, which is 7 per day per 1m</w:t>
      </w:r>
      <w:r w:rsidR="00535478">
        <w:rPr>
          <w:rFonts w:ascii="Times New Roman" w:hAnsi="Times New Roman" w:cs="Times New Roman"/>
          <w:sz w:val="24"/>
          <w:szCs w:val="24"/>
          <w:lang w:val="en-US"/>
        </w:rPr>
        <w:t xml:space="preserve"> over November</w:t>
      </w:r>
      <w:r w:rsidR="008C26DF">
        <w:rPr>
          <w:rFonts w:ascii="Times New Roman" w:hAnsi="Times New Roman" w:cs="Times New Roman"/>
          <w:sz w:val="24"/>
          <w:szCs w:val="24"/>
          <w:lang w:val="en-US"/>
        </w:rPr>
        <w:t xml:space="preserve">.  So, to achieve </w:t>
      </w:r>
      <w:r w:rsidR="008C26DF" w:rsidRPr="00220E30">
        <w:rPr>
          <w:rFonts w:ascii="Times New Roman" w:hAnsi="Times New Roman" w:cs="Times New Roman"/>
          <w:i/>
          <w:sz w:val="24"/>
          <w:szCs w:val="24"/>
          <w:lang w:val="en-US"/>
        </w:rPr>
        <w:t>N</w:t>
      </w:r>
      <w:r w:rsidR="008C26DF">
        <w:rPr>
          <w:rFonts w:ascii="Times New Roman" w:hAnsi="Times New Roman" w:cs="Times New Roman"/>
          <w:sz w:val="24"/>
          <w:szCs w:val="24"/>
          <w:lang w:val="en-US"/>
        </w:rPr>
        <w:t xml:space="preserve"> = 11</w:t>
      </w:r>
      <w:r w:rsidR="00220E30">
        <w:rPr>
          <w:rFonts w:ascii="Times New Roman" w:hAnsi="Times New Roman" w:cs="Times New Roman"/>
          <w:sz w:val="24"/>
          <w:szCs w:val="24"/>
          <w:lang w:val="en-US"/>
        </w:rPr>
        <w:t xml:space="preserve"> and hence a cross-country average daily rate of 13 over the next year</w:t>
      </w:r>
      <w:r w:rsidR="008C26DF">
        <w:rPr>
          <w:rFonts w:ascii="Times New Roman" w:hAnsi="Times New Roman" w:cs="Times New Roman"/>
          <w:sz w:val="24"/>
          <w:szCs w:val="24"/>
          <w:lang w:val="en-US"/>
        </w:rPr>
        <w:t xml:space="preserve">, the cross-country average daily loss in life </w:t>
      </w:r>
      <w:r w:rsidR="00D56421">
        <w:rPr>
          <w:rFonts w:ascii="Times New Roman" w:hAnsi="Times New Roman" w:cs="Times New Roman"/>
          <w:sz w:val="24"/>
          <w:szCs w:val="24"/>
          <w:lang w:val="en-US"/>
        </w:rPr>
        <w:t xml:space="preserve">over the next year </w:t>
      </w:r>
      <w:r w:rsidR="008C26DF">
        <w:rPr>
          <w:rFonts w:ascii="Times New Roman" w:hAnsi="Times New Roman" w:cs="Times New Roman"/>
          <w:sz w:val="24"/>
          <w:szCs w:val="24"/>
          <w:lang w:val="en-US"/>
        </w:rPr>
        <w:t xml:space="preserve">would have to be double the daily average over </w:t>
      </w:r>
      <w:r w:rsidR="00D56421">
        <w:rPr>
          <w:rFonts w:ascii="Times New Roman" w:hAnsi="Times New Roman" w:cs="Times New Roman"/>
          <w:sz w:val="24"/>
          <w:szCs w:val="24"/>
          <w:lang w:val="en-US"/>
        </w:rPr>
        <w:t>November.  Again, this does not seem plausible.</w:t>
      </w:r>
    </w:p>
    <w:p w:rsidR="000E2A5F" w:rsidRDefault="000E2A5F" w:rsidP="00445F76">
      <w:pPr>
        <w:spacing w:after="0" w:line="360" w:lineRule="auto"/>
        <w:jc w:val="both"/>
        <w:rPr>
          <w:rFonts w:ascii="Times New Roman" w:hAnsi="Times New Roman" w:cs="Times New Roman"/>
          <w:sz w:val="24"/>
          <w:szCs w:val="24"/>
          <w:lang w:val="en-US"/>
        </w:rPr>
      </w:pPr>
    </w:p>
    <w:p w:rsidR="00445F76" w:rsidRDefault="003C70A9" w:rsidP="00445F7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Thus, with the benefit of information that has arisen since the first lockdown</w:t>
      </w:r>
      <w:r w:rsidR="00721334">
        <w:rPr>
          <w:rFonts w:ascii="Times New Roman" w:hAnsi="Times New Roman" w:cs="Times New Roman"/>
          <w:sz w:val="24"/>
          <w:szCs w:val="24"/>
          <w:lang w:val="en-US"/>
        </w:rPr>
        <w:t>, the conclusion that m</w:t>
      </w:r>
      <w:r>
        <w:rPr>
          <w:rFonts w:ascii="Times New Roman" w:hAnsi="Times New Roman" w:cs="Times New Roman"/>
          <w:sz w:val="24"/>
          <w:szCs w:val="24"/>
          <w:lang w:val="en-US"/>
        </w:rPr>
        <w:t xml:space="preserve">itigation would have been a </w:t>
      </w:r>
      <w:r w:rsidR="00221082">
        <w:rPr>
          <w:rFonts w:ascii="Times New Roman" w:hAnsi="Times New Roman" w:cs="Times New Roman"/>
          <w:sz w:val="24"/>
          <w:szCs w:val="24"/>
          <w:lang w:val="en-US"/>
        </w:rPr>
        <w:t xml:space="preserve">much </w:t>
      </w:r>
      <w:r>
        <w:rPr>
          <w:rFonts w:ascii="Times New Roman" w:hAnsi="Times New Roman" w:cs="Times New Roman"/>
          <w:sz w:val="24"/>
          <w:szCs w:val="24"/>
          <w:lang w:val="en-US"/>
        </w:rPr>
        <w:t xml:space="preserve">better choice than </w:t>
      </w:r>
      <w:r w:rsidR="005160B2">
        <w:rPr>
          <w:rFonts w:ascii="Times New Roman" w:hAnsi="Times New Roman" w:cs="Times New Roman"/>
          <w:sz w:val="24"/>
          <w:szCs w:val="24"/>
          <w:lang w:val="en-US"/>
        </w:rPr>
        <w:t xml:space="preserve">lockdown </w:t>
      </w:r>
      <w:r w:rsidR="0050562A">
        <w:rPr>
          <w:rFonts w:ascii="Times New Roman" w:hAnsi="Times New Roman" w:cs="Times New Roman"/>
          <w:sz w:val="24"/>
          <w:szCs w:val="24"/>
          <w:lang w:val="en-US"/>
        </w:rPr>
        <w:t xml:space="preserve">in March </w:t>
      </w:r>
      <w:r>
        <w:rPr>
          <w:rFonts w:ascii="Times New Roman" w:hAnsi="Times New Roman" w:cs="Times New Roman"/>
          <w:sz w:val="24"/>
          <w:szCs w:val="24"/>
          <w:lang w:val="en-US"/>
        </w:rPr>
        <w:t xml:space="preserve">still holds.  </w:t>
      </w:r>
      <w:r w:rsidR="00445F76">
        <w:rPr>
          <w:rFonts w:ascii="Times New Roman" w:hAnsi="Times New Roman" w:cs="Times New Roman"/>
          <w:sz w:val="24"/>
          <w:szCs w:val="24"/>
          <w:lang w:val="en-US"/>
        </w:rPr>
        <w:t xml:space="preserve">This conclusion is strengthened by the fact that many of the parameter estimates in equation (5) </w:t>
      </w:r>
      <w:r w:rsidR="00B673D8">
        <w:rPr>
          <w:rFonts w:ascii="Times New Roman" w:hAnsi="Times New Roman" w:cs="Times New Roman"/>
          <w:sz w:val="24"/>
          <w:szCs w:val="24"/>
          <w:lang w:val="en-US"/>
        </w:rPr>
        <w:t xml:space="preserve">are from the end of their probability distributions that </w:t>
      </w:r>
      <w:r w:rsidR="00BE5D1D">
        <w:rPr>
          <w:rFonts w:ascii="Times New Roman" w:hAnsi="Times New Roman" w:cs="Times New Roman"/>
          <w:sz w:val="24"/>
          <w:szCs w:val="24"/>
          <w:lang w:val="en-US"/>
        </w:rPr>
        <w:t xml:space="preserve">yield the lowest possible cost per QALY, </w:t>
      </w:r>
      <w:r w:rsidR="00D47E1A">
        <w:rPr>
          <w:rFonts w:ascii="Times New Roman" w:hAnsi="Times New Roman" w:cs="Times New Roman"/>
          <w:sz w:val="24"/>
          <w:szCs w:val="24"/>
          <w:lang w:val="en-US"/>
        </w:rPr>
        <w:t xml:space="preserve">most particularly the </w:t>
      </w:r>
      <w:r w:rsidR="000E2A5F">
        <w:rPr>
          <w:rFonts w:ascii="Times New Roman" w:hAnsi="Times New Roman" w:cs="Times New Roman"/>
          <w:sz w:val="24"/>
          <w:szCs w:val="24"/>
          <w:lang w:val="en-US"/>
        </w:rPr>
        <w:t>6,240</w:t>
      </w:r>
      <w:r w:rsidR="00445F76">
        <w:rPr>
          <w:rFonts w:ascii="Times New Roman" w:hAnsi="Times New Roman" w:cs="Times New Roman"/>
          <w:sz w:val="24"/>
          <w:szCs w:val="24"/>
          <w:lang w:val="en-US"/>
        </w:rPr>
        <w:t xml:space="preserve"> extra QALYs lost from mitigation</w:t>
      </w:r>
      <w:r w:rsidR="00BE5D1D">
        <w:rPr>
          <w:rFonts w:ascii="Times New Roman" w:hAnsi="Times New Roman" w:cs="Times New Roman"/>
          <w:sz w:val="24"/>
          <w:szCs w:val="24"/>
          <w:lang w:val="en-US"/>
        </w:rPr>
        <w:t xml:space="preserve"> and the $27b GDP loss due to lockdown rather than mitigation</w:t>
      </w:r>
      <w:r w:rsidR="00445F76">
        <w:rPr>
          <w:rFonts w:ascii="Times New Roman" w:hAnsi="Times New Roman" w:cs="Times New Roman"/>
          <w:sz w:val="24"/>
          <w:szCs w:val="24"/>
          <w:lang w:val="en-US"/>
        </w:rPr>
        <w:t xml:space="preserve">.  The conclusion is also strengthened by the fact that no allowance has been made for various phenomena that would raise the </w:t>
      </w:r>
      <w:r w:rsidR="00156B6B">
        <w:rPr>
          <w:rFonts w:ascii="Times New Roman" w:hAnsi="Times New Roman" w:cs="Times New Roman"/>
          <w:sz w:val="24"/>
          <w:szCs w:val="24"/>
          <w:lang w:val="en-US"/>
        </w:rPr>
        <w:t xml:space="preserve">costs of lockdowns </w:t>
      </w:r>
      <w:r w:rsidR="00445F76">
        <w:rPr>
          <w:rFonts w:ascii="Times New Roman" w:hAnsi="Times New Roman" w:cs="Times New Roman"/>
          <w:sz w:val="24"/>
          <w:szCs w:val="24"/>
          <w:lang w:val="en-US"/>
        </w:rPr>
        <w:t xml:space="preserve">but cannot be quantified: </w:t>
      </w:r>
      <w:r w:rsidR="00156B6B">
        <w:rPr>
          <w:rFonts w:ascii="Times New Roman" w:hAnsi="Times New Roman" w:cs="Times New Roman"/>
          <w:sz w:val="24"/>
          <w:szCs w:val="24"/>
          <w:lang w:val="en-US"/>
        </w:rPr>
        <w:t xml:space="preserve">problems arising from the </w:t>
      </w:r>
      <w:r w:rsidR="00445F76">
        <w:rPr>
          <w:rFonts w:ascii="Times New Roman" w:hAnsi="Times New Roman" w:cs="Times New Roman"/>
          <w:sz w:val="24"/>
          <w:szCs w:val="24"/>
          <w:lang w:val="en-US"/>
        </w:rPr>
        <w:t xml:space="preserve">increased unemployment (addiction, crime, domestic violence, mental health problems, and premature death), disruption to the normal operation of the health care system leading to deaths that would not otherwise occur, </w:t>
      </w:r>
      <w:r w:rsidR="00445F76">
        <w:rPr>
          <w:rFonts w:ascii="Times New Roman" w:hAnsi="Times New Roman" w:cs="Times New Roman"/>
          <w:sz w:val="24"/>
          <w:szCs w:val="24"/>
          <w:lang w:val="en-US"/>
        </w:rPr>
        <w:lastRenderedPageBreak/>
        <w:t>disruption to the education of the Covid-19 student cohort</w:t>
      </w:r>
      <w:r w:rsidR="00F254E7">
        <w:rPr>
          <w:rFonts w:ascii="Times New Roman" w:hAnsi="Times New Roman" w:cs="Times New Roman"/>
          <w:sz w:val="24"/>
          <w:szCs w:val="24"/>
          <w:lang w:val="en-US"/>
        </w:rPr>
        <w:t xml:space="preserve">, and </w:t>
      </w:r>
      <w:r w:rsidR="00E4127B">
        <w:rPr>
          <w:rFonts w:ascii="Times New Roman" w:hAnsi="Times New Roman" w:cs="Times New Roman"/>
          <w:sz w:val="24"/>
          <w:szCs w:val="24"/>
          <w:lang w:val="en-US"/>
        </w:rPr>
        <w:t xml:space="preserve">the </w:t>
      </w:r>
      <w:r w:rsidR="00F254E7">
        <w:rPr>
          <w:rFonts w:ascii="Times New Roman" w:hAnsi="Times New Roman" w:cs="Times New Roman"/>
          <w:sz w:val="24"/>
          <w:szCs w:val="24"/>
          <w:lang w:val="en-US"/>
        </w:rPr>
        <w:t xml:space="preserve">deprival of </w:t>
      </w:r>
      <w:r w:rsidR="00E4127B">
        <w:rPr>
          <w:rFonts w:ascii="Times New Roman" w:hAnsi="Times New Roman" w:cs="Times New Roman"/>
          <w:sz w:val="24"/>
          <w:szCs w:val="24"/>
          <w:lang w:val="en-US"/>
        </w:rPr>
        <w:t xml:space="preserve">liberties that </w:t>
      </w:r>
      <w:r w:rsidR="00F254E7">
        <w:rPr>
          <w:rFonts w:ascii="Times New Roman" w:hAnsi="Times New Roman" w:cs="Times New Roman"/>
          <w:sz w:val="24"/>
          <w:szCs w:val="24"/>
          <w:lang w:val="en-US"/>
        </w:rPr>
        <w:t>people would otherwise enjoy.</w:t>
      </w:r>
      <w:r w:rsidR="00445F76">
        <w:rPr>
          <w:rFonts w:ascii="Times New Roman" w:hAnsi="Times New Roman" w:cs="Times New Roman"/>
          <w:sz w:val="24"/>
          <w:szCs w:val="24"/>
          <w:lang w:val="en-US"/>
        </w:rPr>
        <w:t xml:space="preserve">  </w:t>
      </w:r>
    </w:p>
    <w:p w:rsidR="00F04AC2" w:rsidRDefault="00F04AC2" w:rsidP="00F04AC2">
      <w:pPr>
        <w:spacing w:after="0" w:line="360" w:lineRule="auto"/>
        <w:jc w:val="both"/>
        <w:rPr>
          <w:rFonts w:ascii="Times New Roman" w:hAnsi="Times New Roman" w:cs="Times New Roman"/>
          <w:sz w:val="24"/>
          <w:szCs w:val="24"/>
          <w:lang w:val="en-US"/>
        </w:rPr>
      </w:pPr>
    </w:p>
    <w:p w:rsidR="00040391" w:rsidRPr="00040391" w:rsidRDefault="00DF71D1" w:rsidP="00F04AC2">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3.5</w:t>
      </w:r>
      <w:r w:rsidR="00040391">
        <w:rPr>
          <w:rFonts w:ascii="Times New Roman" w:hAnsi="Times New Roman" w:cs="Times New Roman"/>
          <w:i/>
          <w:sz w:val="24"/>
          <w:szCs w:val="24"/>
          <w:lang w:val="en-US"/>
        </w:rPr>
        <w:t xml:space="preserve"> Evolution in the Views of </w:t>
      </w:r>
      <w:r w:rsidR="00DE67C0">
        <w:rPr>
          <w:rFonts w:ascii="Times New Roman" w:hAnsi="Times New Roman" w:cs="Times New Roman"/>
          <w:i/>
          <w:sz w:val="24"/>
          <w:szCs w:val="24"/>
          <w:lang w:val="en-US"/>
        </w:rPr>
        <w:t xml:space="preserve">the </w:t>
      </w:r>
      <w:r w:rsidR="00040391">
        <w:rPr>
          <w:rFonts w:ascii="Times New Roman" w:hAnsi="Times New Roman" w:cs="Times New Roman"/>
          <w:i/>
          <w:sz w:val="24"/>
          <w:szCs w:val="24"/>
          <w:lang w:val="en-US"/>
        </w:rPr>
        <w:t>Government</w:t>
      </w:r>
      <w:r w:rsidR="00DE67C0">
        <w:rPr>
          <w:rFonts w:ascii="Times New Roman" w:hAnsi="Times New Roman" w:cs="Times New Roman"/>
          <w:i/>
          <w:sz w:val="24"/>
          <w:szCs w:val="24"/>
          <w:lang w:val="en-US"/>
        </w:rPr>
        <w:t>’s</w:t>
      </w:r>
      <w:r w:rsidR="00040391">
        <w:rPr>
          <w:rFonts w:ascii="Times New Roman" w:hAnsi="Times New Roman" w:cs="Times New Roman"/>
          <w:i/>
          <w:sz w:val="24"/>
          <w:szCs w:val="24"/>
          <w:lang w:val="en-US"/>
        </w:rPr>
        <w:t xml:space="preserve"> Advisers</w:t>
      </w:r>
    </w:p>
    <w:p w:rsidR="00787608" w:rsidRDefault="00F04AC2" w:rsidP="00F04A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interesting to observe the evolution in the views of </w:t>
      </w:r>
      <w:r w:rsidR="00C92664">
        <w:rPr>
          <w:rFonts w:ascii="Times New Roman" w:hAnsi="Times New Roman" w:cs="Times New Roman"/>
          <w:sz w:val="24"/>
          <w:szCs w:val="24"/>
          <w:lang w:val="en-US"/>
        </w:rPr>
        <w:t>advisers to the government whose</w:t>
      </w:r>
      <w:r w:rsidR="00040391">
        <w:rPr>
          <w:rFonts w:ascii="Times New Roman" w:hAnsi="Times New Roman" w:cs="Times New Roman"/>
          <w:sz w:val="24"/>
          <w:szCs w:val="24"/>
          <w:lang w:val="en-US"/>
        </w:rPr>
        <w:t xml:space="preserve"> views have been well </w:t>
      </w:r>
      <w:proofErr w:type="spellStart"/>
      <w:r w:rsidR="00040391">
        <w:rPr>
          <w:rFonts w:ascii="Times New Roman" w:hAnsi="Times New Roman" w:cs="Times New Roman"/>
          <w:sz w:val="24"/>
          <w:szCs w:val="24"/>
          <w:lang w:val="en-US"/>
        </w:rPr>
        <w:t>publicised</w:t>
      </w:r>
      <w:proofErr w:type="spellEnd"/>
      <w:r>
        <w:rPr>
          <w:rFonts w:ascii="Times New Roman" w:hAnsi="Times New Roman" w:cs="Times New Roman"/>
          <w:sz w:val="24"/>
          <w:szCs w:val="24"/>
          <w:lang w:val="en-US"/>
        </w:rPr>
        <w:t xml:space="preserve">.  At the commencement of the crisis, </w:t>
      </w:r>
      <w:r w:rsidR="00040391">
        <w:rPr>
          <w:rFonts w:ascii="Times New Roman" w:hAnsi="Times New Roman" w:cs="Times New Roman"/>
          <w:sz w:val="24"/>
          <w:szCs w:val="24"/>
          <w:lang w:val="en-US"/>
        </w:rPr>
        <w:t xml:space="preserve">professors Blakely, Baker and Wilson </w:t>
      </w:r>
      <w:r>
        <w:rPr>
          <w:rFonts w:ascii="Times New Roman" w:hAnsi="Times New Roman" w:cs="Times New Roman"/>
          <w:sz w:val="24"/>
          <w:szCs w:val="24"/>
          <w:lang w:val="en-US"/>
        </w:rPr>
        <w:t xml:space="preserve">supported a quantitative cost-benefit analysis of the merits of </w:t>
      </w:r>
      <w:r w:rsidR="00D15A5E">
        <w:rPr>
          <w:rFonts w:ascii="Times New Roman" w:hAnsi="Times New Roman" w:cs="Times New Roman"/>
          <w:sz w:val="24"/>
          <w:szCs w:val="24"/>
          <w:lang w:val="en-US"/>
        </w:rPr>
        <w:t>different possible strategies</w:t>
      </w:r>
      <w:r w:rsidR="00DD4BB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(Blakely et al, 2020).  Consistent with this, they supported the same </w:t>
      </w:r>
      <w:r w:rsidR="00D15A5E">
        <w:rPr>
          <w:rFonts w:ascii="Times New Roman" w:hAnsi="Times New Roman" w:cs="Times New Roman"/>
          <w:sz w:val="24"/>
          <w:szCs w:val="24"/>
          <w:lang w:val="en-US"/>
        </w:rPr>
        <w:t xml:space="preserve">quantitative </w:t>
      </w:r>
      <w:r>
        <w:rPr>
          <w:rFonts w:ascii="Times New Roman" w:hAnsi="Times New Roman" w:cs="Times New Roman"/>
          <w:sz w:val="24"/>
          <w:szCs w:val="24"/>
          <w:lang w:val="en-US"/>
        </w:rPr>
        <w:t>approach to health interventions in the pre-</w:t>
      </w:r>
      <w:proofErr w:type="spellStart"/>
      <w:r>
        <w:rPr>
          <w:rFonts w:ascii="Times New Roman" w:hAnsi="Times New Roman" w:cs="Times New Roman"/>
          <w:sz w:val="24"/>
          <w:szCs w:val="24"/>
          <w:lang w:val="en-US"/>
        </w:rPr>
        <w:t>covid</w:t>
      </w:r>
      <w:proofErr w:type="spellEnd"/>
      <w:r>
        <w:rPr>
          <w:rFonts w:ascii="Times New Roman" w:hAnsi="Times New Roman" w:cs="Times New Roman"/>
          <w:sz w:val="24"/>
          <w:szCs w:val="24"/>
          <w:lang w:val="en-US"/>
        </w:rPr>
        <w:t xml:space="preserve"> period; for example, </w:t>
      </w:r>
      <w:proofErr w:type="spellStart"/>
      <w:r>
        <w:rPr>
          <w:rFonts w:ascii="Times New Roman" w:hAnsi="Times New Roman" w:cs="Times New Roman"/>
          <w:sz w:val="24"/>
          <w:szCs w:val="24"/>
          <w:lang w:val="en-US"/>
        </w:rPr>
        <w:t>Kvizhinadze</w:t>
      </w:r>
      <w:proofErr w:type="spellEnd"/>
      <w:r>
        <w:rPr>
          <w:rFonts w:ascii="Times New Roman" w:hAnsi="Times New Roman" w:cs="Times New Roman"/>
          <w:sz w:val="24"/>
          <w:szCs w:val="24"/>
          <w:lang w:val="en-US"/>
        </w:rPr>
        <w:t xml:space="preserve"> et al (2015) estimate</w:t>
      </w:r>
      <w:r w:rsidR="000917B6">
        <w:rPr>
          <w:rFonts w:ascii="Times New Roman" w:hAnsi="Times New Roman" w:cs="Times New Roman"/>
          <w:sz w:val="24"/>
          <w:szCs w:val="24"/>
          <w:lang w:val="en-US"/>
        </w:rPr>
        <w:t>d</w:t>
      </w:r>
      <w:r>
        <w:rPr>
          <w:rFonts w:ascii="Times New Roman" w:hAnsi="Times New Roman" w:cs="Times New Roman"/>
          <w:sz w:val="24"/>
          <w:szCs w:val="24"/>
          <w:lang w:val="en-US"/>
        </w:rPr>
        <w:t xml:space="preserve"> the maximum amount that should be spent as a function of </w:t>
      </w:r>
      <w:r w:rsidR="00477DEF">
        <w:rPr>
          <w:rFonts w:ascii="Times New Roman" w:hAnsi="Times New Roman" w:cs="Times New Roman"/>
          <w:sz w:val="24"/>
          <w:szCs w:val="24"/>
          <w:lang w:val="en-US"/>
        </w:rPr>
        <w:t xml:space="preserve">a </w:t>
      </w:r>
      <w:r>
        <w:rPr>
          <w:rFonts w:ascii="Times New Roman" w:hAnsi="Times New Roman" w:cs="Times New Roman"/>
          <w:sz w:val="24"/>
          <w:szCs w:val="24"/>
          <w:lang w:val="en-US"/>
        </w:rPr>
        <w:t>patient’s age on life-saving interventions that returned the patients to average mortality and morbidity for their age group, Boyd et al (2018) estimated the net present value of a border closure in response to a generic pandemic threat</w:t>
      </w:r>
      <w:r w:rsidR="007A7A16">
        <w:rPr>
          <w:rFonts w:ascii="Times New Roman" w:hAnsi="Times New Roman" w:cs="Times New Roman"/>
          <w:sz w:val="24"/>
          <w:szCs w:val="24"/>
          <w:lang w:val="en-US"/>
        </w:rPr>
        <w:t>, and Boyd et al (2019) estimated the cost per QALY saved by cataract surgery</w:t>
      </w:r>
      <w:r>
        <w:rPr>
          <w:rFonts w:ascii="Times New Roman" w:hAnsi="Times New Roman" w:cs="Times New Roman"/>
          <w:sz w:val="24"/>
          <w:szCs w:val="24"/>
          <w:lang w:val="en-US"/>
        </w:rPr>
        <w:t>.  However, all subsequent published comment on the pandemic from these public health experts (professors Blakely, Baker and Wilson) has been in support of an elimination strategy but without any accompanying cost-benefit analysis, or even the mer</w:t>
      </w:r>
      <w:r w:rsidR="00091374">
        <w:rPr>
          <w:rFonts w:ascii="Times New Roman" w:hAnsi="Times New Roman" w:cs="Times New Roman"/>
          <w:sz w:val="24"/>
          <w:szCs w:val="24"/>
          <w:lang w:val="en-US"/>
        </w:rPr>
        <w:t>est mention of QALYs</w:t>
      </w:r>
      <w:r>
        <w:rPr>
          <w:rFonts w:ascii="Times New Roman" w:hAnsi="Times New Roman" w:cs="Times New Roman"/>
          <w:sz w:val="24"/>
          <w:szCs w:val="24"/>
          <w:lang w:val="en-US"/>
        </w:rPr>
        <w:t xml:space="preserve"> (for example: Baker et al, 2020; </w:t>
      </w:r>
      <w:proofErr w:type="spellStart"/>
      <w:r>
        <w:rPr>
          <w:rFonts w:ascii="Times New Roman" w:hAnsi="Times New Roman" w:cs="Times New Roman"/>
          <w:sz w:val="24"/>
          <w:szCs w:val="24"/>
          <w:lang w:val="en-US"/>
        </w:rPr>
        <w:t>Durrheim</w:t>
      </w:r>
      <w:proofErr w:type="spellEnd"/>
      <w:r>
        <w:rPr>
          <w:rFonts w:ascii="Times New Roman" w:hAnsi="Times New Roman" w:cs="Times New Roman"/>
          <w:sz w:val="24"/>
          <w:szCs w:val="24"/>
          <w:lang w:val="en-US"/>
        </w:rPr>
        <w:t xml:space="preserve"> and Baker, 2020).  So, despite promoting the cost-benefit approach to health interventions for many years, and adopting the same approach in the initial stages of the pandemic, these public health e</w:t>
      </w:r>
      <w:r w:rsidR="004B3B0C">
        <w:rPr>
          <w:rFonts w:ascii="Times New Roman" w:hAnsi="Times New Roman" w:cs="Times New Roman"/>
          <w:sz w:val="24"/>
          <w:szCs w:val="24"/>
          <w:lang w:val="en-US"/>
        </w:rPr>
        <w:t>xperts seem to have abandoned this approach</w:t>
      </w:r>
      <w:r>
        <w:rPr>
          <w:rFonts w:ascii="Times New Roman" w:hAnsi="Times New Roman" w:cs="Times New Roman"/>
          <w:sz w:val="24"/>
          <w:szCs w:val="24"/>
          <w:lang w:val="en-US"/>
        </w:rPr>
        <w:t xml:space="preserve"> in </w:t>
      </w:r>
      <w:proofErr w:type="spellStart"/>
      <w:r>
        <w:rPr>
          <w:rFonts w:ascii="Times New Roman" w:hAnsi="Times New Roman" w:cs="Times New Roman"/>
          <w:sz w:val="24"/>
          <w:szCs w:val="24"/>
          <w:lang w:val="en-US"/>
        </w:rPr>
        <w:t>favour</w:t>
      </w:r>
      <w:proofErr w:type="spellEnd"/>
      <w:r>
        <w:rPr>
          <w:rFonts w:ascii="Times New Roman" w:hAnsi="Times New Roman" w:cs="Times New Roman"/>
          <w:sz w:val="24"/>
          <w:szCs w:val="24"/>
          <w:lang w:val="en-US"/>
        </w:rPr>
        <w:t xml:space="preserve"> of the goal of minimizing li</w:t>
      </w:r>
      <w:r w:rsidR="00256707">
        <w:rPr>
          <w:rFonts w:ascii="Times New Roman" w:hAnsi="Times New Roman" w:cs="Times New Roman"/>
          <w:sz w:val="24"/>
          <w:szCs w:val="24"/>
          <w:lang w:val="en-US"/>
        </w:rPr>
        <w:t>ves lost regardless of the cost.</w:t>
      </w:r>
      <w:r w:rsidR="00D15A5E">
        <w:rPr>
          <w:rFonts w:ascii="Times New Roman" w:hAnsi="Times New Roman" w:cs="Times New Roman"/>
          <w:sz w:val="24"/>
          <w:szCs w:val="24"/>
          <w:lang w:val="en-US"/>
        </w:rPr>
        <w:t xml:space="preserve">  </w:t>
      </w:r>
    </w:p>
    <w:p w:rsidR="00787608" w:rsidRDefault="00787608" w:rsidP="00F04AC2">
      <w:pPr>
        <w:spacing w:after="0" w:line="360" w:lineRule="auto"/>
        <w:jc w:val="both"/>
        <w:rPr>
          <w:rFonts w:ascii="Times New Roman" w:hAnsi="Times New Roman" w:cs="Times New Roman"/>
          <w:sz w:val="24"/>
          <w:szCs w:val="24"/>
          <w:lang w:val="en-US"/>
        </w:rPr>
      </w:pPr>
    </w:p>
    <w:p w:rsidR="00F04AC2" w:rsidRDefault="00D15A5E" w:rsidP="00F04A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case of Prof</w:t>
      </w:r>
      <w:r w:rsidR="006118F8">
        <w:rPr>
          <w:rFonts w:ascii="Times New Roman" w:hAnsi="Times New Roman" w:cs="Times New Roman"/>
          <w:sz w:val="24"/>
          <w:szCs w:val="24"/>
          <w:lang w:val="en-US"/>
        </w:rPr>
        <w:t>essor</w:t>
      </w:r>
      <w:r>
        <w:rPr>
          <w:rFonts w:ascii="Times New Roman" w:hAnsi="Times New Roman" w:cs="Times New Roman"/>
          <w:sz w:val="24"/>
          <w:szCs w:val="24"/>
          <w:lang w:val="en-US"/>
        </w:rPr>
        <w:t xml:space="preserve"> B</w:t>
      </w:r>
      <w:r w:rsidR="0046666A">
        <w:rPr>
          <w:rFonts w:ascii="Times New Roman" w:hAnsi="Times New Roman" w:cs="Times New Roman"/>
          <w:sz w:val="24"/>
          <w:szCs w:val="24"/>
          <w:lang w:val="en-US"/>
        </w:rPr>
        <w:t xml:space="preserve">aker is </w:t>
      </w:r>
      <w:r w:rsidR="00F07584">
        <w:rPr>
          <w:rFonts w:ascii="Times New Roman" w:hAnsi="Times New Roman" w:cs="Times New Roman"/>
          <w:sz w:val="24"/>
          <w:szCs w:val="24"/>
          <w:lang w:val="en-US"/>
        </w:rPr>
        <w:t>even stranger</w:t>
      </w:r>
      <w:r w:rsidR="0046666A">
        <w:rPr>
          <w:rFonts w:ascii="Times New Roman" w:hAnsi="Times New Roman" w:cs="Times New Roman"/>
          <w:sz w:val="24"/>
          <w:szCs w:val="24"/>
          <w:lang w:val="en-US"/>
        </w:rPr>
        <w:t>.  He was a co-author of Blakely et al (2020), which was published on 23 March (and it cannot have been finalized before 16 March because it c</w:t>
      </w:r>
      <w:r w:rsidR="00F07584">
        <w:rPr>
          <w:rFonts w:ascii="Times New Roman" w:hAnsi="Times New Roman" w:cs="Times New Roman"/>
          <w:sz w:val="24"/>
          <w:szCs w:val="24"/>
          <w:lang w:val="en-US"/>
        </w:rPr>
        <w:t>ited</w:t>
      </w:r>
      <w:r w:rsidR="0046666A">
        <w:rPr>
          <w:rFonts w:ascii="Times New Roman" w:hAnsi="Times New Roman" w:cs="Times New Roman"/>
          <w:sz w:val="24"/>
          <w:szCs w:val="24"/>
          <w:lang w:val="en-US"/>
        </w:rPr>
        <w:t xml:space="preserve"> an article with that date).  In this article, the authors noted that substantial savings in life were likely from elimination but that there were costs of doing so in the health system and across the economy, that expenditures of up to $2.5b were justified by a QALY value of $45,000, that these were “quick calculations”, and that they “could and should be improved”.  However, despite so urging government to improve the cost-benefit analysis so that a sensible decision could be made, Prof Baker was already advocating lockdowns and </w:t>
      </w:r>
      <w:r w:rsidR="00F07584">
        <w:rPr>
          <w:rFonts w:ascii="Times New Roman" w:hAnsi="Times New Roman" w:cs="Times New Roman"/>
          <w:sz w:val="24"/>
          <w:szCs w:val="24"/>
          <w:lang w:val="en-US"/>
        </w:rPr>
        <w:t xml:space="preserve">doing so </w:t>
      </w:r>
      <w:r w:rsidR="0046666A">
        <w:rPr>
          <w:rFonts w:ascii="Times New Roman" w:hAnsi="Times New Roman" w:cs="Times New Roman"/>
          <w:sz w:val="24"/>
          <w:szCs w:val="24"/>
          <w:lang w:val="en-US"/>
        </w:rPr>
        <w:t xml:space="preserve">without any cost-benefit analysis.  </w:t>
      </w:r>
      <w:r w:rsidR="00721E09">
        <w:rPr>
          <w:rFonts w:ascii="Times New Roman" w:hAnsi="Times New Roman" w:cs="Times New Roman"/>
          <w:sz w:val="24"/>
          <w:szCs w:val="24"/>
          <w:lang w:val="en-US"/>
        </w:rPr>
        <w:t xml:space="preserve">In particular, he advocated lockdown on 22 March whilst recognizing the severe economic costs of doing so but without any analysis of </w:t>
      </w:r>
      <w:r w:rsidR="00721E09">
        <w:rPr>
          <w:rFonts w:ascii="Times New Roman" w:hAnsi="Times New Roman" w:cs="Times New Roman"/>
          <w:sz w:val="24"/>
          <w:szCs w:val="24"/>
          <w:lang w:val="en-US"/>
        </w:rPr>
        <w:lastRenderedPageBreak/>
        <w:t>the trade-off.</w:t>
      </w:r>
      <w:r w:rsidR="00721E09">
        <w:rPr>
          <w:rStyle w:val="FootnoteReference"/>
          <w:rFonts w:ascii="Times New Roman" w:hAnsi="Times New Roman" w:cs="Times New Roman"/>
          <w:sz w:val="24"/>
          <w:szCs w:val="24"/>
          <w:lang w:val="en-US"/>
        </w:rPr>
        <w:footnoteReference w:id="26"/>
      </w:r>
      <w:r w:rsidR="00721E09">
        <w:rPr>
          <w:rFonts w:ascii="Times New Roman" w:hAnsi="Times New Roman" w:cs="Times New Roman"/>
          <w:sz w:val="24"/>
          <w:szCs w:val="24"/>
          <w:lang w:val="en-US"/>
        </w:rPr>
        <w:t xml:space="preserve">  Furthermore, in an interview </w:t>
      </w:r>
      <w:r>
        <w:rPr>
          <w:rFonts w:ascii="Times New Roman" w:hAnsi="Times New Roman" w:cs="Times New Roman"/>
          <w:sz w:val="24"/>
          <w:szCs w:val="24"/>
          <w:lang w:val="en-US"/>
        </w:rPr>
        <w:t xml:space="preserve">granted to a journalist </w:t>
      </w:r>
      <w:r w:rsidR="00721E09">
        <w:rPr>
          <w:rFonts w:ascii="Times New Roman" w:hAnsi="Times New Roman" w:cs="Times New Roman"/>
          <w:sz w:val="24"/>
          <w:szCs w:val="24"/>
          <w:lang w:val="en-US"/>
        </w:rPr>
        <w:t xml:space="preserve">after the lockdown announcement, </w:t>
      </w:r>
      <w:r>
        <w:rPr>
          <w:rFonts w:ascii="Times New Roman" w:hAnsi="Times New Roman" w:cs="Times New Roman"/>
          <w:sz w:val="24"/>
          <w:szCs w:val="24"/>
          <w:lang w:val="en-US"/>
        </w:rPr>
        <w:t xml:space="preserve">explaining the evolution </w:t>
      </w:r>
      <w:r w:rsidR="00DE5FC9">
        <w:rPr>
          <w:rFonts w:ascii="Times New Roman" w:hAnsi="Times New Roman" w:cs="Times New Roman"/>
          <w:sz w:val="24"/>
          <w:szCs w:val="24"/>
          <w:lang w:val="en-US"/>
        </w:rPr>
        <w:t xml:space="preserve">in </w:t>
      </w:r>
      <w:r>
        <w:rPr>
          <w:rFonts w:ascii="Times New Roman" w:hAnsi="Times New Roman" w:cs="Times New Roman"/>
          <w:sz w:val="24"/>
          <w:szCs w:val="24"/>
          <w:lang w:val="en-US"/>
        </w:rPr>
        <w:t>his thinking</w:t>
      </w:r>
      <w:r w:rsidR="00721E09">
        <w:rPr>
          <w:rFonts w:ascii="Times New Roman" w:hAnsi="Times New Roman" w:cs="Times New Roman"/>
          <w:sz w:val="24"/>
          <w:szCs w:val="24"/>
          <w:lang w:val="en-US"/>
        </w:rPr>
        <w:t xml:space="preserve">, he stated that he switched in late February to </w:t>
      </w:r>
      <w:proofErr w:type="spellStart"/>
      <w:r w:rsidR="00721E09">
        <w:rPr>
          <w:rFonts w:ascii="Times New Roman" w:hAnsi="Times New Roman" w:cs="Times New Roman"/>
          <w:sz w:val="24"/>
          <w:szCs w:val="24"/>
          <w:lang w:val="en-US"/>
        </w:rPr>
        <w:t>favouring</w:t>
      </w:r>
      <w:proofErr w:type="spellEnd"/>
      <w:r w:rsidR="00721E09">
        <w:rPr>
          <w:rFonts w:ascii="Times New Roman" w:hAnsi="Times New Roman" w:cs="Times New Roman"/>
          <w:sz w:val="24"/>
          <w:szCs w:val="24"/>
          <w:lang w:val="en-US"/>
        </w:rPr>
        <w:t xml:space="preserve"> lockdowns to achieve elimination because the evidence from China was that such a strategy </w:t>
      </w:r>
      <w:r w:rsidR="00721E09" w:rsidRPr="00CA197D">
        <w:rPr>
          <w:rFonts w:ascii="Times New Roman" w:hAnsi="Times New Roman" w:cs="Times New Roman"/>
          <w:i/>
          <w:sz w:val="24"/>
          <w:szCs w:val="24"/>
          <w:lang w:val="en-US"/>
        </w:rPr>
        <w:t>could</w:t>
      </w:r>
      <w:r w:rsidR="00721E09">
        <w:rPr>
          <w:rFonts w:ascii="Times New Roman" w:hAnsi="Times New Roman" w:cs="Times New Roman"/>
          <w:sz w:val="24"/>
          <w:szCs w:val="24"/>
          <w:lang w:val="en-US"/>
        </w:rPr>
        <w:t xml:space="preserve"> succeed, but he makes no mention of the costs of doing so or even that cost considerations were important.</w:t>
      </w:r>
      <w:r w:rsidR="00DE5FC9">
        <w:rPr>
          <w:rStyle w:val="FootnoteReference"/>
          <w:rFonts w:ascii="Times New Roman" w:hAnsi="Times New Roman" w:cs="Times New Roman"/>
          <w:sz w:val="24"/>
          <w:szCs w:val="24"/>
          <w:lang w:val="en-US"/>
        </w:rPr>
        <w:footnoteReference w:id="27"/>
      </w:r>
      <w:r>
        <w:rPr>
          <w:rFonts w:ascii="Times New Roman" w:hAnsi="Times New Roman" w:cs="Times New Roman"/>
          <w:sz w:val="24"/>
          <w:szCs w:val="24"/>
          <w:lang w:val="en-US"/>
        </w:rPr>
        <w:t xml:space="preserve">  </w:t>
      </w:r>
      <w:r w:rsidR="009B424E">
        <w:rPr>
          <w:rFonts w:ascii="Times New Roman" w:hAnsi="Times New Roman" w:cs="Times New Roman"/>
          <w:sz w:val="24"/>
          <w:szCs w:val="24"/>
          <w:lang w:val="en-US"/>
        </w:rPr>
        <w:t xml:space="preserve">Consistent with this </w:t>
      </w:r>
      <w:r w:rsidR="00084046">
        <w:rPr>
          <w:rFonts w:ascii="Times New Roman" w:hAnsi="Times New Roman" w:cs="Times New Roman"/>
          <w:sz w:val="24"/>
          <w:szCs w:val="24"/>
          <w:lang w:val="en-US"/>
        </w:rPr>
        <w:t xml:space="preserve">newfound absolute prioritization of lives over costs, </w:t>
      </w:r>
      <w:r w:rsidR="009B424E">
        <w:rPr>
          <w:rFonts w:ascii="Times New Roman" w:hAnsi="Times New Roman" w:cs="Times New Roman"/>
          <w:sz w:val="24"/>
          <w:szCs w:val="24"/>
          <w:lang w:val="en-US"/>
        </w:rPr>
        <w:t xml:space="preserve">he </w:t>
      </w:r>
      <w:r w:rsidR="00215751">
        <w:rPr>
          <w:rFonts w:ascii="Times New Roman" w:hAnsi="Times New Roman" w:cs="Times New Roman"/>
          <w:sz w:val="24"/>
          <w:szCs w:val="24"/>
          <w:lang w:val="en-US"/>
        </w:rPr>
        <w:t xml:space="preserve">reports weeping </w:t>
      </w:r>
      <w:r w:rsidR="00F926E9">
        <w:rPr>
          <w:rFonts w:ascii="Times New Roman" w:hAnsi="Times New Roman" w:cs="Times New Roman"/>
          <w:sz w:val="24"/>
          <w:szCs w:val="24"/>
          <w:lang w:val="en-US"/>
        </w:rPr>
        <w:t xml:space="preserve">when the lockdown was announced (on 23 March).  </w:t>
      </w:r>
    </w:p>
    <w:p w:rsidR="00C926DD" w:rsidRDefault="00C926DD" w:rsidP="00F04AC2">
      <w:pPr>
        <w:spacing w:after="0" w:line="360" w:lineRule="auto"/>
        <w:jc w:val="both"/>
        <w:rPr>
          <w:rFonts w:ascii="Times New Roman" w:hAnsi="Times New Roman" w:cs="Times New Roman"/>
          <w:sz w:val="24"/>
          <w:szCs w:val="24"/>
          <w:lang w:val="en-US"/>
        </w:rPr>
      </w:pPr>
    </w:p>
    <w:p w:rsidR="00C926DD" w:rsidRDefault="006118F8" w:rsidP="00F04AC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Turning now to </w:t>
      </w:r>
      <w:r w:rsidR="00C92664">
        <w:rPr>
          <w:rFonts w:ascii="Times New Roman" w:hAnsi="Times New Roman" w:cs="Times New Roman"/>
          <w:sz w:val="24"/>
          <w:szCs w:val="24"/>
          <w:lang w:val="en-US"/>
        </w:rPr>
        <w:t xml:space="preserve">James et al (2020a), </w:t>
      </w:r>
      <w:r>
        <w:rPr>
          <w:rFonts w:ascii="Times New Roman" w:hAnsi="Times New Roman" w:cs="Times New Roman"/>
          <w:sz w:val="24"/>
          <w:szCs w:val="24"/>
          <w:lang w:val="en-US"/>
        </w:rPr>
        <w:t xml:space="preserve">in </w:t>
      </w:r>
      <w:r w:rsidR="00F1739D">
        <w:rPr>
          <w:rFonts w:ascii="Times New Roman" w:hAnsi="Times New Roman" w:cs="Times New Roman"/>
          <w:sz w:val="24"/>
          <w:szCs w:val="24"/>
          <w:lang w:val="en-US"/>
        </w:rPr>
        <w:t xml:space="preserve">March 2020, </w:t>
      </w:r>
      <w:r w:rsidR="00C92664">
        <w:rPr>
          <w:rFonts w:ascii="Times New Roman" w:hAnsi="Times New Roman" w:cs="Times New Roman"/>
          <w:sz w:val="24"/>
          <w:szCs w:val="24"/>
          <w:lang w:val="en-US"/>
        </w:rPr>
        <w:t xml:space="preserve">they </w:t>
      </w:r>
      <w:r w:rsidR="00C926DD">
        <w:rPr>
          <w:rFonts w:ascii="Times New Roman" w:hAnsi="Times New Roman" w:cs="Times New Roman"/>
          <w:sz w:val="24"/>
          <w:szCs w:val="24"/>
          <w:lang w:val="en-US"/>
        </w:rPr>
        <w:t>presented predictions of the death tolls in New Zealand from a range of possible control strategies</w:t>
      </w:r>
      <w:r w:rsidR="00C92664">
        <w:rPr>
          <w:rFonts w:ascii="Times New Roman" w:hAnsi="Times New Roman" w:cs="Times New Roman"/>
          <w:sz w:val="24"/>
          <w:szCs w:val="24"/>
          <w:lang w:val="en-US"/>
        </w:rPr>
        <w:t xml:space="preserve"> (ibid, Table 2)</w:t>
      </w:r>
      <w:r w:rsidR="00C926DD">
        <w:rPr>
          <w:rFonts w:ascii="Times New Roman" w:hAnsi="Times New Roman" w:cs="Times New Roman"/>
          <w:sz w:val="24"/>
          <w:szCs w:val="24"/>
          <w:lang w:val="en-US"/>
        </w:rPr>
        <w:t xml:space="preserve">.  However, none of the </w:t>
      </w:r>
      <w:r w:rsidR="00741043">
        <w:rPr>
          <w:rFonts w:ascii="Times New Roman" w:hAnsi="Times New Roman" w:cs="Times New Roman"/>
          <w:sz w:val="24"/>
          <w:szCs w:val="24"/>
          <w:lang w:val="en-US"/>
        </w:rPr>
        <w:t>s</w:t>
      </w:r>
      <w:r w:rsidR="00C926DD">
        <w:rPr>
          <w:rFonts w:ascii="Times New Roman" w:hAnsi="Times New Roman" w:cs="Times New Roman"/>
          <w:sz w:val="24"/>
          <w:szCs w:val="24"/>
          <w:lang w:val="en-US"/>
        </w:rPr>
        <w:t xml:space="preserve">trategies examined by them corresponds to “mitigation” as defined by Ferguson et al (2020) and Blakely et al (2020).  </w:t>
      </w:r>
      <w:r w:rsidR="00741043">
        <w:rPr>
          <w:rFonts w:ascii="Times New Roman" w:hAnsi="Times New Roman" w:cs="Times New Roman"/>
          <w:sz w:val="24"/>
          <w:szCs w:val="24"/>
          <w:lang w:val="en-US"/>
        </w:rPr>
        <w:t xml:space="preserve">Furthermore, James et al </w:t>
      </w:r>
      <w:r w:rsidR="001D0FEF">
        <w:rPr>
          <w:rFonts w:ascii="Times New Roman" w:hAnsi="Times New Roman" w:cs="Times New Roman"/>
          <w:sz w:val="24"/>
          <w:szCs w:val="24"/>
          <w:lang w:val="en-US"/>
        </w:rPr>
        <w:t xml:space="preserve">did </w:t>
      </w:r>
      <w:r w:rsidR="00741043">
        <w:rPr>
          <w:rFonts w:ascii="Times New Roman" w:hAnsi="Times New Roman" w:cs="Times New Roman"/>
          <w:sz w:val="24"/>
          <w:szCs w:val="24"/>
          <w:lang w:val="en-US"/>
        </w:rPr>
        <w:t xml:space="preserve">not </w:t>
      </w:r>
      <w:r w:rsidR="00C926DD">
        <w:rPr>
          <w:rFonts w:ascii="Times New Roman" w:hAnsi="Times New Roman" w:cs="Times New Roman"/>
          <w:sz w:val="24"/>
          <w:szCs w:val="24"/>
          <w:lang w:val="en-US"/>
        </w:rPr>
        <w:t xml:space="preserve">present </w:t>
      </w:r>
      <w:r w:rsidR="00BA208F">
        <w:rPr>
          <w:rFonts w:ascii="Times New Roman" w:hAnsi="Times New Roman" w:cs="Times New Roman"/>
          <w:sz w:val="24"/>
          <w:szCs w:val="24"/>
          <w:lang w:val="en-US"/>
        </w:rPr>
        <w:t xml:space="preserve">any </w:t>
      </w:r>
      <w:r w:rsidR="00C926DD">
        <w:rPr>
          <w:rFonts w:ascii="Times New Roman" w:hAnsi="Times New Roman" w:cs="Times New Roman"/>
          <w:sz w:val="24"/>
          <w:szCs w:val="24"/>
          <w:lang w:val="en-US"/>
        </w:rPr>
        <w:t xml:space="preserve">information on, or even recognize the relevance of, costs of adopting the various strategies considered by them, </w:t>
      </w:r>
      <w:r w:rsidR="00D92A54">
        <w:rPr>
          <w:rFonts w:ascii="Times New Roman" w:hAnsi="Times New Roman" w:cs="Times New Roman"/>
          <w:sz w:val="24"/>
          <w:szCs w:val="24"/>
          <w:lang w:val="en-US"/>
        </w:rPr>
        <w:t>and therefore their goal seemed</w:t>
      </w:r>
      <w:r w:rsidR="00C926DD">
        <w:rPr>
          <w:rFonts w:ascii="Times New Roman" w:hAnsi="Times New Roman" w:cs="Times New Roman"/>
          <w:sz w:val="24"/>
          <w:szCs w:val="24"/>
          <w:lang w:val="en-US"/>
        </w:rPr>
        <w:t xml:space="preserve"> to be to minimize the number of deaths regardless of the cost.</w:t>
      </w:r>
      <w:r w:rsidR="00741043">
        <w:rPr>
          <w:rFonts w:ascii="Times New Roman" w:hAnsi="Times New Roman" w:cs="Times New Roman"/>
          <w:sz w:val="24"/>
          <w:szCs w:val="24"/>
          <w:lang w:val="en-US"/>
        </w:rPr>
        <w:t xml:space="preserve">  By contrast, </w:t>
      </w:r>
      <w:r w:rsidR="007F112C">
        <w:rPr>
          <w:rFonts w:ascii="Times New Roman" w:hAnsi="Times New Roman" w:cs="Times New Roman"/>
          <w:sz w:val="24"/>
          <w:szCs w:val="24"/>
          <w:lang w:val="en-US"/>
        </w:rPr>
        <w:t>in a November</w:t>
      </w:r>
      <w:r w:rsidR="00F1739D">
        <w:rPr>
          <w:rFonts w:ascii="Times New Roman" w:hAnsi="Times New Roman" w:cs="Times New Roman"/>
          <w:sz w:val="24"/>
          <w:szCs w:val="24"/>
          <w:lang w:val="en-US"/>
        </w:rPr>
        <w:t xml:space="preserve"> 2020 paper with most of the same authors as James et al (2020a)</w:t>
      </w:r>
      <w:r w:rsidR="007F112C">
        <w:rPr>
          <w:rFonts w:ascii="Times New Roman" w:hAnsi="Times New Roman" w:cs="Times New Roman"/>
          <w:sz w:val="24"/>
          <w:szCs w:val="24"/>
          <w:lang w:val="en-US"/>
        </w:rPr>
        <w:t xml:space="preserve">, </w:t>
      </w:r>
      <w:proofErr w:type="spellStart"/>
      <w:r w:rsidR="001D0FEF">
        <w:rPr>
          <w:rFonts w:ascii="Times New Roman" w:hAnsi="Times New Roman" w:cs="Times New Roman"/>
          <w:sz w:val="24"/>
          <w:szCs w:val="24"/>
          <w:lang w:val="en-US"/>
        </w:rPr>
        <w:t>Binny</w:t>
      </w:r>
      <w:proofErr w:type="spellEnd"/>
      <w:r w:rsidR="001D0FEF">
        <w:rPr>
          <w:rFonts w:ascii="Times New Roman" w:hAnsi="Times New Roman" w:cs="Times New Roman"/>
          <w:sz w:val="24"/>
          <w:szCs w:val="24"/>
          <w:lang w:val="en-US"/>
        </w:rPr>
        <w:t xml:space="preserve"> et </w:t>
      </w:r>
      <w:r w:rsidR="00741043">
        <w:rPr>
          <w:rFonts w:ascii="Times New Roman" w:hAnsi="Times New Roman" w:cs="Times New Roman"/>
          <w:sz w:val="24"/>
          <w:szCs w:val="24"/>
          <w:lang w:val="en-US"/>
        </w:rPr>
        <w:t>al (</w:t>
      </w:r>
      <w:r w:rsidR="00380174">
        <w:rPr>
          <w:rFonts w:ascii="Times New Roman" w:hAnsi="Times New Roman" w:cs="Times New Roman"/>
          <w:sz w:val="24"/>
          <w:szCs w:val="24"/>
          <w:lang w:val="en-US"/>
        </w:rPr>
        <w:t>2020</w:t>
      </w:r>
      <w:r w:rsidR="002A5F4D">
        <w:rPr>
          <w:rFonts w:ascii="Times New Roman" w:hAnsi="Times New Roman" w:cs="Times New Roman"/>
          <w:sz w:val="24"/>
          <w:szCs w:val="24"/>
          <w:lang w:val="en-US"/>
        </w:rPr>
        <w:t>, page 19</w:t>
      </w:r>
      <w:r w:rsidR="00741043">
        <w:rPr>
          <w:rFonts w:ascii="Times New Roman" w:hAnsi="Times New Roman" w:cs="Times New Roman"/>
          <w:sz w:val="24"/>
          <w:szCs w:val="24"/>
          <w:lang w:val="en-US"/>
        </w:rPr>
        <w:t xml:space="preserve">) do </w:t>
      </w:r>
      <w:r w:rsidR="007F112C">
        <w:rPr>
          <w:rFonts w:ascii="Times New Roman" w:hAnsi="Times New Roman" w:cs="Times New Roman"/>
          <w:sz w:val="24"/>
          <w:szCs w:val="24"/>
          <w:lang w:val="en-US"/>
        </w:rPr>
        <w:t xml:space="preserve">recognize that differing strategies have different costs, </w:t>
      </w:r>
      <w:r w:rsidR="00697722">
        <w:rPr>
          <w:rFonts w:ascii="Times New Roman" w:hAnsi="Times New Roman" w:cs="Times New Roman"/>
          <w:sz w:val="24"/>
          <w:szCs w:val="24"/>
          <w:lang w:val="en-US"/>
        </w:rPr>
        <w:t xml:space="preserve">and </w:t>
      </w:r>
      <w:r w:rsidR="007F112C">
        <w:rPr>
          <w:rFonts w:ascii="Times New Roman" w:hAnsi="Times New Roman" w:cs="Times New Roman"/>
          <w:sz w:val="24"/>
          <w:szCs w:val="24"/>
          <w:lang w:val="en-US"/>
        </w:rPr>
        <w:t xml:space="preserve">that a cost-benefit analysis would be necessary to determine this, but they do not carry this out.  In the absence of such analysis, the usefulness of their analysis to policy makers is minimal unless those policy makers are indifferent to costs and seek only to </w:t>
      </w:r>
      <w:proofErr w:type="spellStart"/>
      <w:r w:rsidR="007F112C">
        <w:rPr>
          <w:rFonts w:ascii="Times New Roman" w:hAnsi="Times New Roman" w:cs="Times New Roman"/>
          <w:sz w:val="24"/>
          <w:szCs w:val="24"/>
          <w:lang w:val="en-US"/>
        </w:rPr>
        <w:t>minimise</w:t>
      </w:r>
      <w:proofErr w:type="spellEnd"/>
      <w:r w:rsidR="007F112C">
        <w:rPr>
          <w:rFonts w:ascii="Times New Roman" w:hAnsi="Times New Roman" w:cs="Times New Roman"/>
          <w:sz w:val="24"/>
          <w:szCs w:val="24"/>
          <w:lang w:val="en-US"/>
        </w:rPr>
        <w:t xml:space="preserve"> the death rate.  Furthermore, as with their earlier paper, none of the strategies examined in their latest paper examines the consequences of a mitigation strategy as defined by Ferguson et al (2020), involving case isolation, quarantining of members of their households, and </w:t>
      </w:r>
      <w:r w:rsidR="00380174">
        <w:rPr>
          <w:rFonts w:ascii="Times New Roman" w:hAnsi="Times New Roman" w:cs="Times New Roman"/>
          <w:sz w:val="24"/>
          <w:szCs w:val="24"/>
          <w:lang w:val="en-US"/>
        </w:rPr>
        <w:t xml:space="preserve">efforts to shield </w:t>
      </w:r>
      <w:r w:rsidR="007F112C">
        <w:rPr>
          <w:rFonts w:ascii="Times New Roman" w:hAnsi="Times New Roman" w:cs="Times New Roman"/>
          <w:sz w:val="24"/>
          <w:szCs w:val="24"/>
          <w:lang w:val="en-US"/>
        </w:rPr>
        <w:t xml:space="preserve">the elderly.  </w:t>
      </w:r>
      <w:r w:rsidR="00BB7349">
        <w:rPr>
          <w:rFonts w:ascii="Times New Roman" w:hAnsi="Times New Roman" w:cs="Times New Roman"/>
          <w:sz w:val="24"/>
          <w:szCs w:val="24"/>
          <w:lang w:val="en-US"/>
        </w:rPr>
        <w:t xml:space="preserve">The nearest such strategy </w:t>
      </w:r>
      <w:r w:rsidR="002F2B02">
        <w:rPr>
          <w:rFonts w:ascii="Times New Roman" w:hAnsi="Times New Roman" w:cs="Times New Roman"/>
          <w:sz w:val="24"/>
          <w:szCs w:val="24"/>
          <w:lang w:val="en-US"/>
        </w:rPr>
        <w:t xml:space="preserve">examined by them </w:t>
      </w:r>
      <w:r w:rsidR="00BB7349">
        <w:rPr>
          <w:rFonts w:ascii="Times New Roman" w:hAnsi="Times New Roman" w:cs="Times New Roman"/>
          <w:sz w:val="24"/>
          <w:szCs w:val="24"/>
          <w:lang w:val="en-US"/>
        </w:rPr>
        <w:t xml:space="preserve">appears to be </w:t>
      </w:r>
      <w:r w:rsidR="002F2B02">
        <w:rPr>
          <w:rFonts w:ascii="Times New Roman" w:hAnsi="Times New Roman" w:cs="Times New Roman"/>
          <w:sz w:val="24"/>
          <w:szCs w:val="24"/>
          <w:lang w:val="en-US"/>
        </w:rPr>
        <w:t xml:space="preserve">the </w:t>
      </w:r>
      <w:r w:rsidR="00BB7349">
        <w:rPr>
          <w:rFonts w:ascii="Times New Roman" w:hAnsi="Times New Roman" w:cs="Times New Roman"/>
          <w:sz w:val="24"/>
          <w:szCs w:val="24"/>
          <w:lang w:val="en-US"/>
        </w:rPr>
        <w:t xml:space="preserve">adoption of </w:t>
      </w:r>
      <w:r w:rsidR="002F2B02">
        <w:rPr>
          <w:rFonts w:ascii="Times New Roman" w:hAnsi="Times New Roman" w:cs="Times New Roman"/>
          <w:sz w:val="24"/>
          <w:szCs w:val="24"/>
          <w:lang w:val="en-US"/>
        </w:rPr>
        <w:t xml:space="preserve">only </w:t>
      </w:r>
      <w:r w:rsidR="00BB7349">
        <w:rPr>
          <w:rFonts w:ascii="Times New Roman" w:hAnsi="Times New Roman" w:cs="Times New Roman"/>
          <w:sz w:val="24"/>
          <w:szCs w:val="24"/>
          <w:lang w:val="en-US"/>
        </w:rPr>
        <w:t xml:space="preserve">Level 2.  </w:t>
      </w:r>
      <w:r w:rsidR="007F112C">
        <w:rPr>
          <w:rFonts w:ascii="Times New Roman" w:hAnsi="Times New Roman" w:cs="Times New Roman"/>
          <w:sz w:val="24"/>
          <w:szCs w:val="24"/>
          <w:lang w:val="en-US"/>
        </w:rPr>
        <w:t xml:space="preserve">Furthermore, in estimating the death toll from adoption of only Level 2, </w:t>
      </w:r>
      <w:proofErr w:type="spellStart"/>
      <w:r w:rsidR="00697722">
        <w:rPr>
          <w:rFonts w:ascii="Times New Roman" w:hAnsi="Times New Roman" w:cs="Times New Roman"/>
          <w:sz w:val="24"/>
          <w:szCs w:val="24"/>
          <w:lang w:val="en-US"/>
        </w:rPr>
        <w:t>Binny</w:t>
      </w:r>
      <w:proofErr w:type="spellEnd"/>
      <w:r w:rsidR="00697722">
        <w:rPr>
          <w:rFonts w:ascii="Times New Roman" w:hAnsi="Times New Roman" w:cs="Times New Roman"/>
          <w:sz w:val="24"/>
          <w:szCs w:val="24"/>
          <w:lang w:val="en-US"/>
        </w:rPr>
        <w:t xml:space="preserve"> et al (2020</w:t>
      </w:r>
      <w:r w:rsidR="00F1739D">
        <w:rPr>
          <w:rFonts w:ascii="Times New Roman" w:hAnsi="Times New Roman" w:cs="Times New Roman"/>
          <w:sz w:val="24"/>
          <w:szCs w:val="24"/>
          <w:lang w:val="en-US"/>
        </w:rPr>
        <w:t>, Table 3</w:t>
      </w:r>
      <w:r w:rsidR="007F112C">
        <w:rPr>
          <w:rFonts w:ascii="Times New Roman" w:hAnsi="Times New Roman" w:cs="Times New Roman"/>
          <w:sz w:val="24"/>
          <w:szCs w:val="24"/>
          <w:lang w:val="en-US"/>
        </w:rPr>
        <w:t xml:space="preserve">) estimate </w:t>
      </w:r>
      <w:r w:rsidR="00BB7349">
        <w:rPr>
          <w:rFonts w:ascii="Times New Roman" w:hAnsi="Times New Roman" w:cs="Times New Roman"/>
          <w:sz w:val="24"/>
          <w:szCs w:val="24"/>
          <w:lang w:val="en-US"/>
        </w:rPr>
        <w:t xml:space="preserve">it at </w:t>
      </w:r>
      <w:r w:rsidR="00F1739D">
        <w:rPr>
          <w:rFonts w:ascii="Times New Roman" w:hAnsi="Times New Roman" w:cs="Times New Roman"/>
          <w:sz w:val="24"/>
          <w:szCs w:val="24"/>
          <w:lang w:val="en-US"/>
        </w:rPr>
        <w:t>3</w:t>
      </w:r>
      <w:r w:rsidR="007F112C">
        <w:rPr>
          <w:rFonts w:ascii="Times New Roman" w:hAnsi="Times New Roman" w:cs="Times New Roman"/>
          <w:sz w:val="24"/>
          <w:szCs w:val="24"/>
          <w:lang w:val="en-US"/>
        </w:rPr>
        <w:t>2,000</w:t>
      </w:r>
      <w:r w:rsidR="00F1739D">
        <w:rPr>
          <w:rFonts w:ascii="Times New Roman" w:hAnsi="Times New Roman" w:cs="Times New Roman"/>
          <w:sz w:val="24"/>
          <w:szCs w:val="24"/>
          <w:lang w:val="en-US"/>
        </w:rPr>
        <w:t xml:space="preserve"> </w:t>
      </w:r>
      <w:r w:rsidR="00EB4BA5">
        <w:rPr>
          <w:rFonts w:ascii="Times New Roman" w:hAnsi="Times New Roman" w:cs="Times New Roman"/>
          <w:sz w:val="24"/>
          <w:szCs w:val="24"/>
          <w:lang w:val="en-US"/>
        </w:rPr>
        <w:t>(and more if the health system is saturated with cases, as it would be</w:t>
      </w:r>
      <w:r w:rsidR="00BB7349">
        <w:rPr>
          <w:rFonts w:ascii="Times New Roman" w:hAnsi="Times New Roman" w:cs="Times New Roman"/>
          <w:sz w:val="24"/>
          <w:szCs w:val="24"/>
          <w:lang w:val="en-US"/>
        </w:rPr>
        <w:t xml:space="preserve"> at that casualty level</w:t>
      </w:r>
      <w:r w:rsidR="00EB4BA5">
        <w:rPr>
          <w:rFonts w:ascii="Times New Roman" w:hAnsi="Times New Roman" w:cs="Times New Roman"/>
          <w:sz w:val="24"/>
          <w:szCs w:val="24"/>
          <w:lang w:val="en-US"/>
        </w:rPr>
        <w:t>)</w:t>
      </w:r>
      <w:r w:rsidR="00F1739D">
        <w:rPr>
          <w:rFonts w:ascii="Times New Roman" w:hAnsi="Times New Roman" w:cs="Times New Roman"/>
          <w:sz w:val="24"/>
          <w:szCs w:val="24"/>
          <w:lang w:val="en-US"/>
        </w:rPr>
        <w:t xml:space="preserve">.  However, their model generating this result has no provision for individuals </w:t>
      </w:r>
      <w:r w:rsidR="00C92664">
        <w:rPr>
          <w:rFonts w:ascii="Times New Roman" w:hAnsi="Times New Roman" w:cs="Times New Roman"/>
          <w:sz w:val="24"/>
          <w:szCs w:val="24"/>
          <w:lang w:val="en-US"/>
        </w:rPr>
        <w:t xml:space="preserve">not yet infected </w:t>
      </w:r>
      <w:r w:rsidR="00F1739D">
        <w:rPr>
          <w:rFonts w:ascii="Times New Roman" w:hAnsi="Times New Roman" w:cs="Times New Roman"/>
          <w:sz w:val="24"/>
          <w:szCs w:val="24"/>
          <w:lang w:val="en-US"/>
        </w:rPr>
        <w:t xml:space="preserve">changing their behavior in response to the observable spread of the virus, </w:t>
      </w:r>
      <w:r w:rsidR="00697722">
        <w:rPr>
          <w:rFonts w:ascii="Times New Roman" w:hAnsi="Times New Roman" w:cs="Times New Roman"/>
          <w:sz w:val="24"/>
          <w:szCs w:val="24"/>
          <w:lang w:val="en-US"/>
        </w:rPr>
        <w:t xml:space="preserve">in the form of </w:t>
      </w:r>
      <w:r w:rsidR="00F1739D">
        <w:rPr>
          <w:rFonts w:ascii="Times New Roman" w:hAnsi="Times New Roman" w:cs="Times New Roman"/>
          <w:sz w:val="24"/>
          <w:szCs w:val="24"/>
          <w:lang w:val="en-US"/>
        </w:rPr>
        <w:t xml:space="preserve">reduced social contacts, </w:t>
      </w:r>
      <w:r w:rsidR="00380174">
        <w:rPr>
          <w:rFonts w:ascii="Times New Roman" w:hAnsi="Times New Roman" w:cs="Times New Roman"/>
          <w:sz w:val="24"/>
          <w:szCs w:val="24"/>
          <w:lang w:val="en-US"/>
        </w:rPr>
        <w:t xml:space="preserve">working from home if possible, </w:t>
      </w:r>
      <w:r w:rsidR="00F1739D">
        <w:rPr>
          <w:rFonts w:ascii="Times New Roman" w:hAnsi="Times New Roman" w:cs="Times New Roman"/>
          <w:sz w:val="24"/>
          <w:szCs w:val="24"/>
          <w:lang w:val="en-US"/>
        </w:rPr>
        <w:t xml:space="preserve">increased hand washing, increased use of masks, etc.  Implicitly and implausibly, they treat </w:t>
      </w:r>
      <w:r w:rsidR="00C92664">
        <w:rPr>
          <w:rFonts w:ascii="Times New Roman" w:hAnsi="Times New Roman" w:cs="Times New Roman"/>
          <w:sz w:val="24"/>
          <w:szCs w:val="24"/>
          <w:lang w:val="en-US"/>
        </w:rPr>
        <w:t xml:space="preserve">uninfected </w:t>
      </w:r>
      <w:r w:rsidR="00F1739D">
        <w:rPr>
          <w:rFonts w:ascii="Times New Roman" w:hAnsi="Times New Roman" w:cs="Times New Roman"/>
          <w:sz w:val="24"/>
          <w:szCs w:val="24"/>
          <w:lang w:val="en-US"/>
        </w:rPr>
        <w:t xml:space="preserve">humans like rabbits, who do not react to </w:t>
      </w:r>
      <w:r w:rsidR="00F1739D">
        <w:rPr>
          <w:rFonts w:ascii="Times New Roman" w:hAnsi="Times New Roman" w:cs="Times New Roman"/>
          <w:sz w:val="24"/>
          <w:szCs w:val="24"/>
          <w:lang w:val="en-US"/>
        </w:rPr>
        <w:lastRenderedPageBreak/>
        <w:t xml:space="preserve">a virus spreading through their population because they do not understand how </w:t>
      </w:r>
      <w:r w:rsidR="00C92664">
        <w:rPr>
          <w:rFonts w:ascii="Times New Roman" w:hAnsi="Times New Roman" w:cs="Times New Roman"/>
          <w:sz w:val="24"/>
          <w:szCs w:val="24"/>
          <w:lang w:val="en-US"/>
        </w:rPr>
        <w:t>it is transmitted</w:t>
      </w:r>
      <w:r w:rsidR="00F1739D">
        <w:rPr>
          <w:rFonts w:ascii="Times New Roman" w:hAnsi="Times New Roman" w:cs="Times New Roman"/>
          <w:sz w:val="24"/>
          <w:szCs w:val="24"/>
          <w:lang w:val="en-US"/>
        </w:rPr>
        <w:t xml:space="preserve">.  </w:t>
      </w:r>
      <w:r w:rsidR="00CE42A6">
        <w:rPr>
          <w:rFonts w:ascii="Times New Roman" w:hAnsi="Times New Roman" w:cs="Times New Roman"/>
          <w:sz w:val="24"/>
          <w:szCs w:val="24"/>
          <w:lang w:val="en-US"/>
        </w:rPr>
        <w:t xml:space="preserve">Equivalently, they treat </w:t>
      </w:r>
      <w:r w:rsidR="00C92664">
        <w:rPr>
          <w:rFonts w:ascii="Times New Roman" w:hAnsi="Times New Roman" w:cs="Times New Roman"/>
          <w:sz w:val="24"/>
          <w:szCs w:val="24"/>
          <w:lang w:val="en-US"/>
        </w:rPr>
        <w:t xml:space="preserve">uninfected </w:t>
      </w:r>
      <w:r w:rsidR="00CE42A6">
        <w:rPr>
          <w:rFonts w:ascii="Times New Roman" w:hAnsi="Times New Roman" w:cs="Times New Roman"/>
          <w:sz w:val="24"/>
          <w:szCs w:val="24"/>
          <w:lang w:val="en-US"/>
        </w:rPr>
        <w:t xml:space="preserve">human beings like fissile elements in a nuclear chain reaction, </w:t>
      </w:r>
      <w:r w:rsidR="00D23C4C">
        <w:rPr>
          <w:rFonts w:ascii="Times New Roman" w:hAnsi="Times New Roman" w:cs="Times New Roman"/>
          <w:sz w:val="24"/>
          <w:szCs w:val="24"/>
          <w:lang w:val="en-US"/>
        </w:rPr>
        <w:t xml:space="preserve">which are </w:t>
      </w:r>
      <w:r w:rsidR="00CE42A6">
        <w:rPr>
          <w:rFonts w:ascii="Times New Roman" w:hAnsi="Times New Roman" w:cs="Times New Roman"/>
          <w:sz w:val="24"/>
          <w:szCs w:val="24"/>
          <w:lang w:val="en-US"/>
        </w:rPr>
        <w:t xml:space="preserve">unable to </w:t>
      </w:r>
      <w:r w:rsidR="00634FAE">
        <w:rPr>
          <w:rFonts w:ascii="Times New Roman" w:hAnsi="Times New Roman" w:cs="Times New Roman"/>
          <w:sz w:val="24"/>
          <w:szCs w:val="24"/>
          <w:lang w:val="en-US"/>
        </w:rPr>
        <w:t xml:space="preserve">move so </w:t>
      </w:r>
      <w:r w:rsidR="00CE42A6">
        <w:rPr>
          <w:rFonts w:ascii="Times New Roman" w:hAnsi="Times New Roman" w:cs="Times New Roman"/>
          <w:sz w:val="24"/>
          <w:szCs w:val="24"/>
          <w:lang w:val="en-US"/>
        </w:rPr>
        <w:t xml:space="preserve">as to avoid the neutrons that facilitate the chain reaction.  </w:t>
      </w:r>
      <w:r w:rsidR="00DF11F5">
        <w:rPr>
          <w:rFonts w:ascii="Times New Roman" w:hAnsi="Times New Roman" w:cs="Times New Roman"/>
          <w:sz w:val="24"/>
          <w:szCs w:val="24"/>
          <w:lang w:val="en-US"/>
        </w:rPr>
        <w:t xml:space="preserve">Consistent with </w:t>
      </w:r>
      <w:r w:rsidR="00697722">
        <w:rPr>
          <w:rFonts w:ascii="Times New Roman" w:hAnsi="Times New Roman" w:cs="Times New Roman"/>
          <w:sz w:val="24"/>
          <w:szCs w:val="24"/>
          <w:lang w:val="en-US"/>
        </w:rPr>
        <w:t>this highly implausible feature of the model</w:t>
      </w:r>
      <w:r w:rsidR="00DF11F5">
        <w:rPr>
          <w:rFonts w:ascii="Times New Roman" w:hAnsi="Times New Roman" w:cs="Times New Roman"/>
          <w:sz w:val="24"/>
          <w:szCs w:val="24"/>
          <w:lang w:val="en-US"/>
        </w:rPr>
        <w:t xml:space="preserve">, its prediction of </w:t>
      </w:r>
      <w:r w:rsidR="00097347">
        <w:rPr>
          <w:rFonts w:ascii="Times New Roman" w:hAnsi="Times New Roman" w:cs="Times New Roman"/>
          <w:sz w:val="24"/>
          <w:szCs w:val="24"/>
          <w:lang w:val="en-US"/>
        </w:rPr>
        <w:t xml:space="preserve">at least </w:t>
      </w:r>
      <w:r w:rsidR="00DF11F5">
        <w:rPr>
          <w:rFonts w:ascii="Times New Roman" w:hAnsi="Times New Roman" w:cs="Times New Roman"/>
          <w:sz w:val="24"/>
          <w:szCs w:val="24"/>
          <w:lang w:val="en-US"/>
        </w:rPr>
        <w:t xml:space="preserve">32,000 deaths in New Zealand (6,400 per 1m) exceeds the </w:t>
      </w:r>
      <w:r w:rsidR="00E275E7">
        <w:rPr>
          <w:rFonts w:ascii="Times New Roman" w:hAnsi="Times New Roman" w:cs="Times New Roman"/>
          <w:sz w:val="24"/>
          <w:szCs w:val="24"/>
          <w:lang w:val="en-US"/>
        </w:rPr>
        <w:t>average death rate in European countries up to 30 November (</w:t>
      </w:r>
      <w:r w:rsidR="00010396">
        <w:rPr>
          <w:rFonts w:ascii="Times New Roman" w:hAnsi="Times New Roman" w:cs="Times New Roman"/>
          <w:sz w:val="24"/>
          <w:szCs w:val="24"/>
          <w:lang w:val="en-US"/>
        </w:rPr>
        <w:t xml:space="preserve">of </w:t>
      </w:r>
      <w:r w:rsidR="00E275E7">
        <w:rPr>
          <w:rFonts w:ascii="Times New Roman" w:hAnsi="Times New Roman" w:cs="Times New Roman"/>
          <w:sz w:val="24"/>
          <w:szCs w:val="24"/>
          <w:lang w:val="en-US"/>
        </w:rPr>
        <w:t xml:space="preserve">450 per 1m) </w:t>
      </w:r>
      <w:r w:rsidR="00665B6F">
        <w:rPr>
          <w:rFonts w:ascii="Times New Roman" w:hAnsi="Times New Roman" w:cs="Times New Roman"/>
          <w:sz w:val="24"/>
          <w:szCs w:val="24"/>
          <w:lang w:val="en-US"/>
        </w:rPr>
        <w:t xml:space="preserve">by a multiple of 14, and even exceeds the </w:t>
      </w:r>
      <w:r w:rsidR="00DF11F5">
        <w:rPr>
          <w:rFonts w:ascii="Times New Roman" w:hAnsi="Times New Roman" w:cs="Times New Roman"/>
          <w:sz w:val="24"/>
          <w:szCs w:val="24"/>
          <w:lang w:val="en-US"/>
        </w:rPr>
        <w:t xml:space="preserve">highest death rate observed in </w:t>
      </w:r>
      <w:r w:rsidR="00215A46">
        <w:rPr>
          <w:rFonts w:ascii="Times New Roman" w:hAnsi="Times New Roman" w:cs="Times New Roman"/>
          <w:sz w:val="24"/>
          <w:szCs w:val="24"/>
          <w:lang w:val="en-US"/>
        </w:rPr>
        <w:t xml:space="preserve">any country </w:t>
      </w:r>
      <w:r w:rsidR="00010396">
        <w:rPr>
          <w:rFonts w:ascii="Times New Roman" w:hAnsi="Times New Roman" w:cs="Times New Roman"/>
          <w:sz w:val="24"/>
          <w:szCs w:val="24"/>
          <w:lang w:val="en-US"/>
        </w:rPr>
        <w:t xml:space="preserve">in the world </w:t>
      </w:r>
      <w:r w:rsidR="00DF11F5">
        <w:rPr>
          <w:rFonts w:ascii="Times New Roman" w:hAnsi="Times New Roman" w:cs="Times New Roman"/>
          <w:sz w:val="24"/>
          <w:szCs w:val="24"/>
          <w:lang w:val="en-US"/>
        </w:rPr>
        <w:t xml:space="preserve">up to </w:t>
      </w:r>
      <w:r w:rsidR="00665B6F">
        <w:rPr>
          <w:rFonts w:ascii="Times New Roman" w:hAnsi="Times New Roman" w:cs="Times New Roman"/>
          <w:sz w:val="24"/>
          <w:szCs w:val="24"/>
          <w:lang w:val="en-US"/>
        </w:rPr>
        <w:t xml:space="preserve">30 November </w:t>
      </w:r>
      <w:r w:rsidR="00DF11F5">
        <w:rPr>
          <w:rFonts w:ascii="Times New Roman" w:hAnsi="Times New Roman" w:cs="Times New Roman"/>
          <w:sz w:val="24"/>
          <w:szCs w:val="24"/>
          <w:lang w:val="en-US"/>
        </w:rPr>
        <w:t>(Belgium with</w:t>
      </w:r>
      <w:r w:rsidR="00665B6F">
        <w:rPr>
          <w:rFonts w:ascii="Times New Roman" w:hAnsi="Times New Roman" w:cs="Times New Roman"/>
          <w:sz w:val="24"/>
          <w:szCs w:val="24"/>
          <w:lang w:val="en-US"/>
        </w:rPr>
        <w:t xml:space="preserve"> 1,418 per 1m) by a multiple of over 4</w:t>
      </w:r>
      <w:r w:rsidR="00697722">
        <w:rPr>
          <w:rFonts w:ascii="Times New Roman" w:hAnsi="Times New Roman" w:cs="Times New Roman"/>
          <w:sz w:val="24"/>
          <w:szCs w:val="24"/>
          <w:lang w:val="en-US"/>
        </w:rPr>
        <w:t>.</w:t>
      </w:r>
      <w:r w:rsidR="00215A46">
        <w:rPr>
          <w:rStyle w:val="FootnoteReference"/>
          <w:rFonts w:ascii="Times New Roman" w:hAnsi="Times New Roman" w:cs="Times New Roman"/>
          <w:sz w:val="24"/>
          <w:szCs w:val="24"/>
          <w:lang w:val="en-US"/>
        </w:rPr>
        <w:footnoteReference w:id="28"/>
      </w:r>
      <w:r w:rsidR="00220E30">
        <w:rPr>
          <w:rFonts w:ascii="Times New Roman" w:hAnsi="Times New Roman" w:cs="Times New Roman"/>
          <w:sz w:val="24"/>
          <w:szCs w:val="24"/>
          <w:lang w:val="en-US"/>
        </w:rPr>
        <w:t xml:space="preserve">  Interestingly, this (implausible) multiple of 14 would lie above the multiple of 11 referred to in the penultimate paragraph of the previous section, which would justify the March lockdown using the highest possible value per QALY of $146,000.</w:t>
      </w:r>
    </w:p>
    <w:p w:rsidR="00736668" w:rsidRDefault="00736668" w:rsidP="00F04AC2">
      <w:pPr>
        <w:spacing w:after="0" w:line="360" w:lineRule="auto"/>
        <w:jc w:val="both"/>
        <w:rPr>
          <w:rFonts w:ascii="Times New Roman" w:hAnsi="Times New Roman" w:cs="Times New Roman"/>
          <w:sz w:val="24"/>
          <w:szCs w:val="24"/>
          <w:lang w:val="en-US"/>
        </w:rPr>
      </w:pPr>
    </w:p>
    <w:p w:rsidR="00900480" w:rsidRPr="00900480" w:rsidRDefault="00587DE8" w:rsidP="00900480">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The Auckland Lockdown</w:t>
      </w:r>
    </w:p>
    <w:p w:rsidR="00900480" w:rsidRDefault="00900480" w:rsidP="00F00CE2">
      <w:pPr>
        <w:spacing w:after="0" w:line="360" w:lineRule="auto"/>
        <w:jc w:val="both"/>
        <w:rPr>
          <w:rFonts w:ascii="Times New Roman" w:hAnsi="Times New Roman" w:cs="Times New Roman"/>
          <w:sz w:val="24"/>
          <w:szCs w:val="24"/>
          <w:lang w:val="en-US"/>
        </w:rPr>
      </w:pPr>
    </w:p>
    <w:p w:rsidR="00587DE8" w:rsidRDefault="00332C17" w:rsidP="00587DE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12 August, and consequent upon an outbreak of </w:t>
      </w:r>
      <w:r w:rsidR="00587DE8">
        <w:rPr>
          <w:rFonts w:ascii="Times New Roman" w:hAnsi="Times New Roman" w:cs="Times New Roman"/>
          <w:sz w:val="24"/>
          <w:szCs w:val="24"/>
          <w:lang w:val="en-US"/>
        </w:rPr>
        <w:t xml:space="preserve">community </w:t>
      </w:r>
      <w:r>
        <w:rPr>
          <w:rFonts w:ascii="Times New Roman" w:hAnsi="Times New Roman" w:cs="Times New Roman"/>
          <w:sz w:val="24"/>
          <w:szCs w:val="24"/>
          <w:lang w:val="en-US"/>
        </w:rPr>
        <w:t>cases in Auckland</w:t>
      </w:r>
      <w:r w:rsidR="00587DE8">
        <w:rPr>
          <w:rFonts w:ascii="Times New Roman" w:hAnsi="Times New Roman" w:cs="Times New Roman"/>
          <w:sz w:val="24"/>
          <w:szCs w:val="24"/>
          <w:lang w:val="en-US"/>
        </w:rPr>
        <w:t xml:space="preserve"> that did not seem capable of being contained with contact tracing and testing</w:t>
      </w:r>
      <w:r>
        <w:rPr>
          <w:rFonts w:ascii="Times New Roman" w:hAnsi="Times New Roman" w:cs="Times New Roman"/>
          <w:sz w:val="24"/>
          <w:szCs w:val="24"/>
          <w:lang w:val="en-US"/>
        </w:rPr>
        <w:t xml:space="preserve">, the government locked down the Auckland region for 18 days.  </w:t>
      </w:r>
      <w:r w:rsidR="00587DE8">
        <w:rPr>
          <w:rFonts w:ascii="Times New Roman" w:hAnsi="Times New Roman" w:cs="Times New Roman"/>
          <w:sz w:val="24"/>
          <w:szCs w:val="24"/>
          <w:lang w:val="en-US"/>
        </w:rPr>
        <w:t>Had lockdown not been undertaken, the outbreak may have spread throughout the country, yielding a situation comparable to that on 23 March.</w:t>
      </w:r>
    </w:p>
    <w:p w:rsidR="00332C17" w:rsidRDefault="00332C17" w:rsidP="00F00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section consid</w:t>
      </w:r>
      <w:r w:rsidR="00587DE8">
        <w:rPr>
          <w:rFonts w:ascii="Times New Roman" w:hAnsi="Times New Roman" w:cs="Times New Roman"/>
          <w:sz w:val="24"/>
          <w:szCs w:val="24"/>
          <w:lang w:val="en-US"/>
        </w:rPr>
        <w:t>ers the merits of that decision, based upon information available at the time and retrospectively.</w:t>
      </w:r>
    </w:p>
    <w:p w:rsidR="00587DE8" w:rsidRDefault="00587DE8" w:rsidP="00F00CE2">
      <w:pPr>
        <w:spacing w:after="0" w:line="360" w:lineRule="auto"/>
        <w:jc w:val="both"/>
        <w:rPr>
          <w:rFonts w:ascii="Times New Roman" w:hAnsi="Times New Roman" w:cs="Times New Roman"/>
          <w:sz w:val="24"/>
          <w:szCs w:val="24"/>
          <w:lang w:val="en-US"/>
        </w:rPr>
      </w:pPr>
    </w:p>
    <w:p w:rsidR="009C71E2" w:rsidRDefault="00587DE8" w:rsidP="00F00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start with information available at the time.  </w:t>
      </w:r>
      <w:r w:rsidR="00770CDF">
        <w:rPr>
          <w:rFonts w:ascii="Times New Roman" w:hAnsi="Times New Roman" w:cs="Times New Roman"/>
          <w:sz w:val="24"/>
          <w:szCs w:val="24"/>
          <w:lang w:val="en-US"/>
        </w:rPr>
        <w:t>In respect of the</w:t>
      </w:r>
      <w:r w:rsidR="00527692">
        <w:rPr>
          <w:rFonts w:ascii="Times New Roman" w:hAnsi="Times New Roman" w:cs="Times New Roman"/>
          <w:sz w:val="24"/>
          <w:szCs w:val="24"/>
          <w:lang w:val="en-US"/>
        </w:rPr>
        <w:t xml:space="preserve"> </w:t>
      </w:r>
      <w:r w:rsidR="00527692">
        <w:rPr>
          <w:rFonts w:ascii="Times New Roman" w:hAnsi="Times New Roman" w:cs="Times New Roman"/>
          <w:i/>
          <w:sz w:val="24"/>
          <w:szCs w:val="24"/>
          <w:lang w:val="en-US"/>
        </w:rPr>
        <w:t>additional</w:t>
      </w:r>
      <w:r w:rsidR="00770CDF">
        <w:rPr>
          <w:rFonts w:ascii="Times New Roman" w:hAnsi="Times New Roman" w:cs="Times New Roman"/>
          <w:sz w:val="24"/>
          <w:szCs w:val="24"/>
          <w:lang w:val="en-US"/>
        </w:rPr>
        <w:t xml:space="preserve"> QALYs saved</w:t>
      </w:r>
      <w:r w:rsidR="00111AC5">
        <w:rPr>
          <w:rFonts w:ascii="Times New Roman" w:hAnsi="Times New Roman" w:cs="Times New Roman"/>
          <w:sz w:val="24"/>
          <w:szCs w:val="24"/>
          <w:lang w:val="en-US"/>
        </w:rPr>
        <w:t xml:space="preserve"> from the Auckland lockdown decision</w:t>
      </w:r>
      <w:r w:rsidR="00770CDF">
        <w:rPr>
          <w:rFonts w:ascii="Times New Roman" w:hAnsi="Times New Roman" w:cs="Times New Roman"/>
          <w:sz w:val="24"/>
          <w:szCs w:val="24"/>
          <w:lang w:val="en-US"/>
        </w:rPr>
        <w:t xml:space="preserve">, </w:t>
      </w:r>
      <w:r w:rsidR="003151C7">
        <w:rPr>
          <w:rFonts w:ascii="Times New Roman" w:hAnsi="Times New Roman" w:cs="Times New Roman"/>
          <w:sz w:val="24"/>
          <w:szCs w:val="24"/>
          <w:lang w:val="en-US"/>
        </w:rPr>
        <w:t>the 6,240</w:t>
      </w:r>
      <w:r w:rsidR="00BB3DC1">
        <w:rPr>
          <w:rFonts w:ascii="Times New Roman" w:hAnsi="Times New Roman" w:cs="Times New Roman"/>
          <w:sz w:val="24"/>
          <w:szCs w:val="24"/>
          <w:lang w:val="en-US"/>
        </w:rPr>
        <w:t>*2</w:t>
      </w:r>
      <w:r w:rsidR="003151C7">
        <w:rPr>
          <w:rFonts w:ascii="Times New Roman" w:hAnsi="Times New Roman" w:cs="Times New Roman"/>
          <w:sz w:val="24"/>
          <w:szCs w:val="24"/>
          <w:lang w:val="en-US"/>
        </w:rPr>
        <w:t>*</w:t>
      </w:r>
      <w:r w:rsidR="003151C7" w:rsidRPr="003151C7">
        <w:rPr>
          <w:rFonts w:ascii="Times New Roman" w:hAnsi="Times New Roman" w:cs="Times New Roman"/>
          <w:i/>
          <w:sz w:val="24"/>
          <w:szCs w:val="24"/>
          <w:lang w:val="en-US"/>
        </w:rPr>
        <w:t>N</w:t>
      </w:r>
      <w:r w:rsidR="00277AD0">
        <w:rPr>
          <w:rFonts w:ascii="Times New Roman" w:hAnsi="Times New Roman" w:cs="Times New Roman"/>
          <w:sz w:val="24"/>
          <w:szCs w:val="24"/>
          <w:lang w:val="en-US"/>
        </w:rPr>
        <w:t xml:space="preserve"> estimate from the previous section is </w:t>
      </w:r>
      <w:r w:rsidR="007362FF">
        <w:rPr>
          <w:rFonts w:ascii="Times New Roman" w:hAnsi="Times New Roman" w:cs="Times New Roman"/>
          <w:sz w:val="24"/>
          <w:szCs w:val="24"/>
          <w:lang w:val="en-US"/>
        </w:rPr>
        <w:t xml:space="preserve">still </w:t>
      </w:r>
      <w:r w:rsidR="00EC4C5E">
        <w:rPr>
          <w:rFonts w:ascii="Times New Roman" w:hAnsi="Times New Roman" w:cs="Times New Roman"/>
          <w:sz w:val="24"/>
          <w:szCs w:val="24"/>
          <w:lang w:val="en-US"/>
        </w:rPr>
        <w:t>the upper b</w:t>
      </w:r>
      <w:r w:rsidR="00CA10B6">
        <w:rPr>
          <w:rFonts w:ascii="Times New Roman" w:hAnsi="Times New Roman" w:cs="Times New Roman"/>
          <w:sz w:val="24"/>
          <w:szCs w:val="24"/>
          <w:lang w:val="en-US"/>
        </w:rPr>
        <w:t xml:space="preserve">ound from continued pursuit of a </w:t>
      </w:r>
      <w:r w:rsidR="005160B2">
        <w:rPr>
          <w:rFonts w:ascii="Times New Roman" w:hAnsi="Times New Roman" w:cs="Times New Roman"/>
          <w:sz w:val="24"/>
          <w:szCs w:val="24"/>
          <w:lang w:val="en-US"/>
        </w:rPr>
        <w:t xml:space="preserve">lockdown </w:t>
      </w:r>
      <w:r w:rsidR="00CA10B6">
        <w:rPr>
          <w:rFonts w:ascii="Times New Roman" w:hAnsi="Times New Roman" w:cs="Times New Roman"/>
          <w:sz w:val="24"/>
          <w:szCs w:val="24"/>
          <w:lang w:val="en-US"/>
        </w:rPr>
        <w:t>policy</w:t>
      </w:r>
      <w:r w:rsidR="00B91766">
        <w:rPr>
          <w:rFonts w:ascii="Times New Roman" w:hAnsi="Times New Roman" w:cs="Times New Roman"/>
          <w:sz w:val="24"/>
          <w:szCs w:val="24"/>
          <w:lang w:val="en-US"/>
        </w:rPr>
        <w:t xml:space="preserve"> here</w:t>
      </w:r>
      <w:r w:rsidR="007362FF">
        <w:rPr>
          <w:rFonts w:ascii="Times New Roman" w:hAnsi="Times New Roman" w:cs="Times New Roman"/>
          <w:sz w:val="24"/>
          <w:szCs w:val="24"/>
          <w:lang w:val="en-US"/>
        </w:rPr>
        <w:t xml:space="preserve">, </w:t>
      </w:r>
      <w:r w:rsidR="00E04351">
        <w:rPr>
          <w:rFonts w:ascii="Times New Roman" w:hAnsi="Times New Roman" w:cs="Times New Roman"/>
          <w:sz w:val="24"/>
          <w:szCs w:val="24"/>
          <w:lang w:val="en-US"/>
        </w:rPr>
        <w:t xml:space="preserve">for reasons given there and for </w:t>
      </w:r>
      <w:r>
        <w:rPr>
          <w:rFonts w:ascii="Times New Roman" w:hAnsi="Times New Roman" w:cs="Times New Roman"/>
          <w:sz w:val="24"/>
          <w:szCs w:val="24"/>
          <w:lang w:val="en-US"/>
        </w:rPr>
        <w:t xml:space="preserve">four </w:t>
      </w:r>
      <w:r w:rsidR="00E04351">
        <w:rPr>
          <w:rFonts w:ascii="Times New Roman" w:hAnsi="Times New Roman" w:cs="Times New Roman"/>
          <w:sz w:val="24"/>
          <w:szCs w:val="24"/>
          <w:lang w:val="en-US"/>
        </w:rPr>
        <w:t xml:space="preserve">additional reasons.  </w:t>
      </w:r>
      <w:r w:rsidR="00923CC3">
        <w:rPr>
          <w:rFonts w:ascii="Times New Roman" w:hAnsi="Times New Roman" w:cs="Times New Roman"/>
          <w:sz w:val="24"/>
          <w:szCs w:val="24"/>
          <w:lang w:val="en-US"/>
        </w:rPr>
        <w:t xml:space="preserve">Firstly, </w:t>
      </w:r>
      <w:r w:rsidR="00E04351">
        <w:rPr>
          <w:rFonts w:ascii="Times New Roman" w:hAnsi="Times New Roman" w:cs="Times New Roman"/>
          <w:sz w:val="24"/>
          <w:szCs w:val="24"/>
          <w:lang w:val="en-US"/>
        </w:rPr>
        <w:t>the outbreak might have been contained through continued testing and tracing</w:t>
      </w:r>
      <w:r w:rsidR="00923CC3">
        <w:rPr>
          <w:rFonts w:ascii="Times New Roman" w:hAnsi="Times New Roman" w:cs="Times New Roman"/>
          <w:sz w:val="24"/>
          <w:szCs w:val="24"/>
          <w:lang w:val="en-US"/>
        </w:rPr>
        <w:t xml:space="preserve">, in which case a mitigation policy might not have led to </w:t>
      </w:r>
      <w:r w:rsidR="00527692">
        <w:rPr>
          <w:rFonts w:ascii="Times New Roman" w:hAnsi="Times New Roman" w:cs="Times New Roman"/>
          <w:sz w:val="24"/>
          <w:szCs w:val="24"/>
          <w:lang w:val="en-US"/>
        </w:rPr>
        <w:t xml:space="preserve">all of </w:t>
      </w:r>
      <w:r w:rsidR="00923CC3">
        <w:rPr>
          <w:rFonts w:ascii="Times New Roman" w:hAnsi="Times New Roman" w:cs="Times New Roman"/>
          <w:sz w:val="24"/>
          <w:szCs w:val="24"/>
          <w:lang w:val="en-US"/>
        </w:rPr>
        <w:t xml:space="preserve">these deaths.  Secondly, policy and medical </w:t>
      </w:r>
      <w:r w:rsidR="007362FF">
        <w:rPr>
          <w:rFonts w:ascii="Times New Roman" w:hAnsi="Times New Roman" w:cs="Times New Roman"/>
          <w:sz w:val="24"/>
          <w:szCs w:val="24"/>
          <w:lang w:val="en-US"/>
        </w:rPr>
        <w:t xml:space="preserve">lessons have been learned since the first lockdown </w:t>
      </w:r>
      <w:r w:rsidR="00923CC3">
        <w:rPr>
          <w:rFonts w:ascii="Times New Roman" w:hAnsi="Times New Roman" w:cs="Times New Roman"/>
          <w:sz w:val="24"/>
          <w:szCs w:val="24"/>
          <w:lang w:val="en-US"/>
        </w:rPr>
        <w:t xml:space="preserve">that would </w:t>
      </w:r>
      <w:r w:rsidR="00DB1B9C">
        <w:rPr>
          <w:rFonts w:ascii="Times New Roman" w:hAnsi="Times New Roman" w:cs="Times New Roman"/>
          <w:sz w:val="24"/>
          <w:szCs w:val="24"/>
          <w:lang w:val="en-US"/>
        </w:rPr>
        <w:t xml:space="preserve">have reduced </w:t>
      </w:r>
      <w:r w:rsidR="00923CC3">
        <w:rPr>
          <w:rFonts w:ascii="Times New Roman" w:hAnsi="Times New Roman" w:cs="Times New Roman"/>
          <w:sz w:val="24"/>
          <w:szCs w:val="24"/>
          <w:lang w:val="en-US"/>
        </w:rPr>
        <w:t xml:space="preserve">deaths </w:t>
      </w:r>
      <w:r w:rsidR="00527692">
        <w:rPr>
          <w:rFonts w:ascii="Times New Roman" w:hAnsi="Times New Roman" w:cs="Times New Roman"/>
          <w:sz w:val="24"/>
          <w:szCs w:val="24"/>
          <w:lang w:val="en-US"/>
        </w:rPr>
        <w:t xml:space="preserve">if a </w:t>
      </w:r>
      <w:r w:rsidR="00923CC3">
        <w:rPr>
          <w:rFonts w:ascii="Times New Roman" w:hAnsi="Times New Roman" w:cs="Times New Roman"/>
          <w:sz w:val="24"/>
          <w:szCs w:val="24"/>
          <w:lang w:val="en-US"/>
        </w:rPr>
        <w:t>mitigation policy</w:t>
      </w:r>
      <w:r w:rsidR="00527692">
        <w:rPr>
          <w:rFonts w:ascii="Times New Roman" w:hAnsi="Times New Roman" w:cs="Times New Roman"/>
          <w:sz w:val="24"/>
          <w:szCs w:val="24"/>
          <w:lang w:val="en-US"/>
        </w:rPr>
        <w:t xml:space="preserve"> had been adopted on 12 August</w:t>
      </w:r>
      <w:r w:rsidR="006A3D32">
        <w:rPr>
          <w:rFonts w:ascii="Times New Roman" w:hAnsi="Times New Roman" w:cs="Times New Roman"/>
          <w:sz w:val="24"/>
          <w:szCs w:val="24"/>
          <w:lang w:val="en-US"/>
        </w:rPr>
        <w:t>.</w:t>
      </w:r>
      <w:r w:rsidR="006A3D32">
        <w:rPr>
          <w:rStyle w:val="FootnoteReference"/>
          <w:rFonts w:ascii="Times New Roman" w:hAnsi="Times New Roman" w:cs="Times New Roman"/>
          <w:sz w:val="24"/>
          <w:szCs w:val="24"/>
          <w:lang w:val="en-US"/>
        </w:rPr>
        <w:footnoteReference w:id="29"/>
      </w:r>
      <w:r w:rsidR="00EC4C5E">
        <w:rPr>
          <w:rFonts w:ascii="Times New Roman" w:hAnsi="Times New Roman" w:cs="Times New Roman"/>
          <w:sz w:val="24"/>
          <w:szCs w:val="24"/>
          <w:lang w:val="en-US"/>
        </w:rPr>
        <w:t xml:space="preserve">  </w:t>
      </w:r>
      <w:r w:rsidR="00DA530F">
        <w:rPr>
          <w:rFonts w:ascii="Times New Roman" w:hAnsi="Times New Roman" w:cs="Times New Roman"/>
          <w:sz w:val="24"/>
          <w:szCs w:val="24"/>
          <w:lang w:val="en-US"/>
        </w:rPr>
        <w:t xml:space="preserve">Thirdly, since mass vaccination will bring deaths to an end at some future date </w:t>
      </w:r>
      <w:r w:rsidR="00DA530F" w:rsidRPr="00DA530F">
        <w:rPr>
          <w:rFonts w:ascii="Times New Roman" w:hAnsi="Times New Roman" w:cs="Times New Roman"/>
          <w:i/>
          <w:sz w:val="24"/>
          <w:szCs w:val="24"/>
          <w:lang w:val="en-US"/>
        </w:rPr>
        <w:t>T</w:t>
      </w:r>
      <w:r w:rsidR="00DA530F">
        <w:rPr>
          <w:rFonts w:ascii="Times New Roman" w:hAnsi="Times New Roman" w:cs="Times New Roman"/>
          <w:sz w:val="24"/>
          <w:szCs w:val="24"/>
          <w:lang w:val="en-US"/>
        </w:rPr>
        <w:t xml:space="preserve">, </w:t>
      </w:r>
      <w:r w:rsidR="00DA530F">
        <w:rPr>
          <w:rFonts w:ascii="Times New Roman" w:hAnsi="Times New Roman" w:cs="Times New Roman"/>
          <w:sz w:val="24"/>
          <w:szCs w:val="24"/>
          <w:lang w:val="en-US"/>
        </w:rPr>
        <w:lastRenderedPageBreak/>
        <w:t xml:space="preserve">failure to lockdown in August would then expose New Zealand only to deaths from August 2020 till </w:t>
      </w:r>
      <w:r w:rsidR="00DA530F" w:rsidRPr="00DA530F">
        <w:rPr>
          <w:rFonts w:ascii="Times New Roman" w:hAnsi="Times New Roman" w:cs="Times New Roman"/>
          <w:i/>
          <w:sz w:val="24"/>
          <w:szCs w:val="24"/>
          <w:lang w:val="en-US"/>
        </w:rPr>
        <w:t>T</w:t>
      </w:r>
      <w:r w:rsidR="00DA530F">
        <w:rPr>
          <w:rFonts w:ascii="Times New Roman" w:hAnsi="Times New Roman" w:cs="Times New Roman"/>
          <w:sz w:val="24"/>
          <w:szCs w:val="24"/>
          <w:lang w:val="en-US"/>
        </w:rPr>
        <w:t xml:space="preserve"> whereas the figure of 6,240*2*</w:t>
      </w:r>
      <w:r w:rsidR="00DA530F" w:rsidRPr="00DA530F">
        <w:rPr>
          <w:rFonts w:ascii="Times New Roman" w:hAnsi="Times New Roman" w:cs="Times New Roman"/>
          <w:i/>
          <w:sz w:val="24"/>
          <w:szCs w:val="24"/>
          <w:lang w:val="en-US"/>
        </w:rPr>
        <w:t>N</w:t>
      </w:r>
      <w:r w:rsidR="00DA530F">
        <w:rPr>
          <w:rFonts w:ascii="Times New Roman" w:hAnsi="Times New Roman" w:cs="Times New Roman"/>
          <w:sz w:val="24"/>
          <w:szCs w:val="24"/>
          <w:lang w:val="en-US"/>
        </w:rPr>
        <w:t xml:space="preserve"> is the deaths from failure to lockdown in March 2020 till </w:t>
      </w:r>
      <w:r w:rsidR="00DA530F" w:rsidRPr="00DA530F">
        <w:rPr>
          <w:rFonts w:ascii="Times New Roman" w:hAnsi="Times New Roman" w:cs="Times New Roman"/>
          <w:i/>
          <w:sz w:val="24"/>
          <w:szCs w:val="24"/>
          <w:lang w:val="en-US"/>
        </w:rPr>
        <w:t>T</w:t>
      </w:r>
      <w:r w:rsidR="00DA530F">
        <w:rPr>
          <w:rFonts w:ascii="Times New Roman" w:hAnsi="Times New Roman" w:cs="Times New Roman"/>
          <w:sz w:val="24"/>
          <w:szCs w:val="24"/>
          <w:lang w:val="en-US"/>
        </w:rPr>
        <w:t xml:space="preserve">, and the former death figure would be less than the latter.  </w:t>
      </w:r>
      <w:r>
        <w:rPr>
          <w:rFonts w:ascii="Times New Roman" w:hAnsi="Times New Roman" w:cs="Times New Roman"/>
          <w:sz w:val="24"/>
          <w:szCs w:val="24"/>
          <w:lang w:val="en-US"/>
        </w:rPr>
        <w:t xml:space="preserve">Fourthly, the figure of 6,240 above arises from 312 extra deaths per 1m from mitigation, but </w:t>
      </w:r>
      <w:r w:rsidR="00F15B87">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based upon </w:t>
      </w:r>
      <w:r w:rsidR="00F15B87">
        <w:rPr>
          <w:rFonts w:ascii="Times New Roman" w:hAnsi="Times New Roman" w:cs="Times New Roman"/>
          <w:sz w:val="24"/>
          <w:szCs w:val="24"/>
          <w:lang w:val="en-US"/>
        </w:rPr>
        <w:t xml:space="preserve">information available on 30 November.  Based upon information available on 12 August, the figure is considerably lower as noted in footnote 36.  </w:t>
      </w:r>
      <w:r w:rsidR="00EC4C5E">
        <w:rPr>
          <w:rFonts w:ascii="Times New Roman" w:hAnsi="Times New Roman" w:cs="Times New Roman"/>
          <w:sz w:val="24"/>
          <w:szCs w:val="24"/>
          <w:lang w:val="en-US"/>
        </w:rPr>
        <w:t>The lower bound on</w:t>
      </w:r>
      <w:r w:rsidR="00321F0F">
        <w:rPr>
          <w:rFonts w:ascii="Times New Roman" w:hAnsi="Times New Roman" w:cs="Times New Roman"/>
          <w:sz w:val="24"/>
          <w:szCs w:val="24"/>
          <w:lang w:val="en-US"/>
        </w:rPr>
        <w:t xml:space="preserve"> the extra </w:t>
      </w:r>
      <w:r w:rsidR="00277AD0">
        <w:rPr>
          <w:rFonts w:ascii="Times New Roman" w:hAnsi="Times New Roman" w:cs="Times New Roman"/>
          <w:sz w:val="24"/>
          <w:szCs w:val="24"/>
          <w:lang w:val="en-US"/>
        </w:rPr>
        <w:t>QALYs saved</w:t>
      </w:r>
      <w:r w:rsidR="00321F0F">
        <w:rPr>
          <w:rFonts w:ascii="Times New Roman" w:hAnsi="Times New Roman" w:cs="Times New Roman"/>
          <w:sz w:val="24"/>
          <w:szCs w:val="24"/>
          <w:lang w:val="en-US"/>
        </w:rPr>
        <w:t xml:space="preserve"> from continuation of the lockdown policy </w:t>
      </w:r>
      <w:r w:rsidR="00EC4C5E">
        <w:rPr>
          <w:rFonts w:ascii="Times New Roman" w:hAnsi="Times New Roman" w:cs="Times New Roman"/>
          <w:sz w:val="24"/>
          <w:szCs w:val="24"/>
          <w:lang w:val="en-US"/>
        </w:rPr>
        <w:t xml:space="preserve">is zero.  So, the upper bound </w:t>
      </w:r>
      <w:r w:rsidR="00BD6322">
        <w:rPr>
          <w:rFonts w:ascii="Times New Roman" w:hAnsi="Times New Roman" w:cs="Times New Roman"/>
          <w:sz w:val="24"/>
          <w:szCs w:val="24"/>
          <w:lang w:val="en-US"/>
        </w:rPr>
        <w:t xml:space="preserve">on the </w:t>
      </w:r>
      <w:r w:rsidR="00074BFA">
        <w:rPr>
          <w:rFonts w:ascii="Times New Roman" w:hAnsi="Times New Roman" w:cs="Times New Roman"/>
          <w:sz w:val="24"/>
          <w:szCs w:val="24"/>
          <w:lang w:val="en-US"/>
        </w:rPr>
        <w:t xml:space="preserve">QALYs saved </w:t>
      </w:r>
      <w:r w:rsidR="00D11F2E">
        <w:rPr>
          <w:rFonts w:ascii="Times New Roman" w:hAnsi="Times New Roman" w:cs="Times New Roman"/>
          <w:sz w:val="24"/>
          <w:szCs w:val="24"/>
          <w:lang w:val="en-US"/>
        </w:rPr>
        <w:t xml:space="preserve">by the lockdown </w:t>
      </w:r>
      <w:r w:rsidR="003151C7">
        <w:rPr>
          <w:rFonts w:ascii="Times New Roman" w:hAnsi="Times New Roman" w:cs="Times New Roman"/>
          <w:sz w:val="24"/>
          <w:szCs w:val="24"/>
          <w:lang w:val="en-US"/>
        </w:rPr>
        <w:t>is 6,240</w:t>
      </w:r>
      <w:r w:rsidR="00BB3DC1">
        <w:rPr>
          <w:rFonts w:ascii="Times New Roman" w:hAnsi="Times New Roman" w:cs="Times New Roman"/>
          <w:sz w:val="24"/>
          <w:szCs w:val="24"/>
          <w:lang w:val="en-US"/>
        </w:rPr>
        <w:t>*2</w:t>
      </w:r>
      <w:r w:rsidR="003151C7">
        <w:rPr>
          <w:rFonts w:ascii="Times New Roman" w:hAnsi="Times New Roman" w:cs="Times New Roman"/>
          <w:sz w:val="24"/>
          <w:szCs w:val="24"/>
          <w:lang w:val="en-US"/>
        </w:rPr>
        <w:t>*</w:t>
      </w:r>
      <w:r w:rsidR="003151C7" w:rsidRPr="003151C7">
        <w:rPr>
          <w:rFonts w:ascii="Times New Roman" w:hAnsi="Times New Roman" w:cs="Times New Roman"/>
          <w:i/>
          <w:sz w:val="24"/>
          <w:szCs w:val="24"/>
          <w:lang w:val="en-US"/>
        </w:rPr>
        <w:t>N</w:t>
      </w:r>
      <w:r w:rsidR="00210317">
        <w:rPr>
          <w:rFonts w:ascii="Times New Roman" w:hAnsi="Times New Roman" w:cs="Times New Roman"/>
          <w:sz w:val="24"/>
          <w:szCs w:val="24"/>
          <w:lang w:val="en-US"/>
        </w:rPr>
        <w:t xml:space="preserve">.  </w:t>
      </w:r>
    </w:p>
    <w:p w:rsidR="009C71E2" w:rsidRDefault="009C71E2" w:rsidP="00F00CE2">
      <w:pPr>
        <w:spacing w:after="0" w:line="360" w:lineRule="auto"/>
        <w:jc w:val="both"/>
        <w:rPr>
          <w:rFonts w:ascii="Times New Roman" w:hAnsi="Times New Roman" w:cs="Times New Roman"/>
          <w:sz w:val="24"/>
          <w:szCs w:val="24"/>
          <w:lang w:val="en-US"/>
        </w:rPr>
      </w:pPr>
    </w:p>
    <w:p w:rsidR="00676BB6" w:rsidRDefault="007329DE" w:rsidP="00F00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respect of the </w:t>
      </w:r>
      <w:r w:rsidR="007C1C59" w:rsidRPr="007C1C59">
        <w:rPr>
          <w:rFonts w:ascii="Times New Roman" w:hAnsi="Times New Roman" w:cs="Times New Roman"/>
          <w:i/>
          <w:sz w:val="24"/>
          <w:szCs w:val="24"/>
          <w:lang w:val="en-US"/>
        </w:rPr>
        <w:t>additional</w:t>
      </w:r>
      <w:r w:rsidR="00210317">
        <w:rPr>
          <w:rFonts w:ascii="Times New Roman" w:hAnsi="Times New Roman" w:cs="Times New Roman"/>
          <w:sz w:val="24"/>
          <w:szCs w:val="24"/>
          <w:lang w:val="en-US"/>
        </w:rPr>
        <w:t xml:space="preserve"> GDP loss from </w:t>
      </w:r>
      <w:r>
        <w:rPr>
          <w:rFonts w:ascii="Times New Roman" w:hAnsi="Times New Roman" w:cs="Times New Roman"/>
          <w:sz w:val="24"/>
          <w:szCs w:val="24"/>
          <w:lang w:val="en-US"/>
        </w:rPr>
        <w:t>the Auckland region lockdown</w:t>
      </w:r>
      <w:r w:rsidR="008E7995">
        <w:rPr>
          <w:rFonts w:ascii="Times New Roman" w:hAnsi="Times New Roman" w:cs="Times New Roman"/>
          <w:sz w:val="24"/>
          <w:szCs w:val="24"/>
          <w:lang w:val="en-US"/>
        </w:rPr>
        <w:t xml:space="preserve"> decision</w:t>
      </w:r>
      <w:r>
        <w:rPr>
          <w:rFonts w:ascii="Times New Roman" w:hAnsi="Times New Roman" w:cs="Times New Roman"/>
          <w:sz w:val="24"/>
          <w:szCs w:val="24"/>
          <w:lang w:val="en-US"/>
        </w:rPr>
        <w:t>, this lasted 18 days (12 August – 30 August</w:t>
      </w:r>
      <w:r w:rsidR="009A7B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Level 3) whereas the first lockdown </w:t>
      </w:r>
      <w:r w:rsidR="00A050DC">
        <w:rPr>
          <w:rFonts w:ascii="Times New Roman" w:hAnsi="Times New Roman" w:cs="Times New Roman"/>
          <w:sz w:val="24"/>
          <w:szCs w:val="24"/>
          <w:lang w:val="en-US"/>
        </w:rPr>
        <w:t>lasted 51 days (23 March till 13 May</w:t>
      </w:r>
      <w:r w:rsidR="009648A8">
        <w:rPr>
          <w:rFonts w:ascii="Times New Roman" w:hAnsi="Times New Roman" w:cs="Times New Roman"/>
          <w:sz w:val="24"/>
          <w:szCs w:val="24"/>
          <w:lang w:val="en-US"/>
        </w:rPr>
        <w:t xml:space="preserve"> in Levels 3 and 4</w:t>
      </w:r>
      <w:r w:rsidR="00A050DC">
        <w:rPr>
          <w:rFonts w:ascii="Times New Roman" w:hAnsi="Times New Roman" w:cs="Times New Roman"/>
          <w:sz w:val="24"/>
          <w:szCs w:val="24"/>
          <w:lang w:val="en-US"/>
        </w:rPr>
        <w:t xml:space="preserve">), </w:t>
      </w:r>
      <w:r w:rsidR="007C1C59">
        <w:rPr>
          <w:rFonts w:ascii="Times New Roman" w:hAnsi="Times New Roman" w:cs="Times New Roman"/>
          <w:sz w:val="24"/>
          <w:szCs w:val="24"/>
          <w:lang w:val="en-US"/>
        </w:rPr>
        <w:t xml:space="preserve">and </w:t>
      </w:r>
      <w:r>
        <w:rPr>
          <w:rFonts w:ascii="Times New Roman" w:hAnsi="Times New Roman" w:cs="Times New Roman"/>
          <w:sz w:val="24"/>
          <w:szCs w:val="24"/>
          <w:lang w:val="en-US"/>
        </w:rPr>
        <w:t>the A</w:t>
      </w:r>
      <w:r w:rsidR="00A050DC">
        <w:rPr>
          <w:rFonts w:ascii="Times New Roman" w:hAnsi="Times New Roman" w:cs="Times New Roman"/>
          <w:sz w:val="24"/>
          <w:szCs w:val="24"/>
          <w:lang w:val="en-US"/>
        </w:rPr>
        <w:t xml:space="preserve">uckland </w:t>
      </w:r>
      <w:r>
        <w:rPr>
          <w:rFonts w:ascii="Times New Roman" w:hAnsi="Times New Roman" w:cs="Times New Roman"/>
          <w:sz w:val="24"/>
          <w:szCs w:val="24"/>
          <w:lang w:val="en-US"/>
        </w:rPr>
        <w:t xml:space="preserve">region </w:t>
      </w:r>
      <w:r w:rsidR="00A050DC">
        <w:rPr>
          <w:rFonts w:ascii="Times New Roman" w:hAnsi="Times New Roman" w:cs="Times New Roman"/>
          <w:sz w:val="24"/>
          <w:szCs w:val="24"/>
          <w:lang w:val="en-US"/>
        </w:rPr>
        <w:t xml:space="preserve">generates </w:t>
      </w:r>
      <w:r w:rsidR="00C04D79">
        <w:rPr>
          <w:rFonts w:ascii="Times New Roman" w:hAnsi="Times New Roman" w:cs="Times New Roman"/>
          <w:sz w:val="24"/>
          <w:szCs w:val="24"/>
          <w:lang w:val="en-US"/>
        </w:rPr>
        <w:t xml:space="preserve">38% </w:t>
      </w:r>
      <w:r w:rsidR="00A050DC">
        <w:rPr>
          <w:rFonts w:ascii="Times New Roman" w:hAnsi="Times New Roman" w:cs="Times New Roman"/>
          <w:sz w:val="24"/>
          <w:szCs w:val="24"/>
          <w:lang w:val="en-US"/>
        </w:rPr>
        <w:t>of New Zealand’s GDP</w:t>
      </w:r>
      <w:r w:rsidR="000965E4">
        <w:rPr>
          <w:rFonts w:ascii="Times New Roman" w:hAnsi="Times New Roman" w:cs="Times New Roman"/>
          <w:sz w:val="24"/>
          <w:szCs w:val="24"/>
          <w:lang w:val="en-US"/>
        </w:rPr>
        <w:t>.</w:t>
      </w:r>
      <w:r w:rsidR="00C04D79">
        <w:rPr>
          <w:rStyle w:val="FootnoteReference"/>
          <w:rFonts w:ascii="Times New Roman" w:hAnsi="Times New Roman" w:cs="Times New Roman"/>
          <w:sz w:val="24"/>
          <w:szCs w:val="24"/>
          <w:lang w:val="en-US"/>
        </w:rPr>
        <w:footnoteReference w:id="30"/>
      </w:r>
      <w:r w:rsidR="000965E4">
        <w:rPr>
          <w:rFonts w:ascii="Times New Roman" w:hAnsi="Times New Roman" w:cs="Times New Roman"/>
          <w:sz w:val="24"/>
          <w:szCs w:val="24"/>
          <w:lang w:val="en-US"/>
        </w:rPr>
        <w:t xml:space="preserve">  </w:t>
      </w:r>
      <w:r w:rsidR="006D547A">
        <w:rPr>
          <w:rFonts w:ascii="Times New Roman" w:hAnsi="Times New Roman" w:cs="Times New Roman"/>
          <w:sz w:val="24"/>
          <w:szCs w:val="24"/>
          <w:lang w:val="en-US"/>
        </w:rPr>
        <w:t>In addition, all of the Auckland lockdown was at Level 3 whilst 33 of the 5</w:t>
      </w:r>
      <w:r w:rsidR="00E21A1B">
        <w:rPr>
          <w:rFonts w:ascii="Times New Roman" w:hAnsi="Times New Roman" w:cs="Times New Roman"/>
          <w:sz w:val="24"/>
          <w:szCs w:val="24"/>
          <w:lang w:val="en-US"/>
        </w:rPr>
        <w:t>1 days of the first lockdown were</w:t>
      </w:r>
      <w:r w:rsidR="006D547A">
        <w:rPr>
          <w:rFonts w:ascii="Times New Roman" w:hAnsi="Times New Roman" w:cs="Times New Roman"/>
          <w:sz w:val="24"/>
          <w:szCs w:val="24"/>
          <w:lang w:val="en-US"/>
        </w:rPr>
        <w:t xml:space="preserve"> at Level 4.  Assuming Level 4 </w:t>
      </w:r>
      <w:r w:rsidR="00744AB2">
        <w:rPr>
          <w:rFonts w:ascii="Times New Roman" w:hAnsi="Times New Roman" w:cs="Times New Roman"/>
          <w:sz w:val="24"/>
          <w:szCs w:val="24"/>
          <w:lang w:val="en-US"/>
        </w:rPr>
        <w:t xml:space="preserve">curtails output by 60% more than </w:t>
      </w:r>
      <w:r w:rsidR="006D547A">
        <w:rPr>
          <w:rFonts w:ascii="Times New Roman" w:hAnsi="Times New Roman" w:cs="Times New Roman"/>
          <w:sz w:val="24"/>
          <w:szCs w:val="24"/>
          <w:lang w:val="en-US"/>
        </w:rPr>
        <w:t>Level 3</w:t>
      </w:r>
      <w:r w:rsidR="00744AB2">
        <w:rPr>
          <w:rFonts w:ascii="Times New Roman" w:hAnsi="Times New Roman" w:cs="Times New Roman"/>
          <w:sz w:val="24"/>
          <w:szCs w:val="24"/>
          <w:lang w:val="en-US"/>
        </w:rPr>
        <w:t xml:space="preserve"> (see The Treasury, 2020a, page 7)</w:t>
      </w:r>
      <w:proofErr w:type="gramStart"/>
      <w:r w:rsidR="006D547A">
        <w:rPr>
          <w:rFonts w:ascii="Times New Roman" w:hAnsi="Times New Roman" w:cs="Times New Roman"/>
          <w:sz w:val="24"/>
          <w:szCs w:val="24"/>
          <w:lang w:val="en-US"/>
        </w:rPr>
        <w:t>,</w:t>
      </w:r>
      <w:proofErr w:type="gramEnd"/>
      <w:r w:rsidR="006D547A">
        <w:rPr>
          <w:rFonts w:ascii="Times New Roman" w:hAnsi="Times New Roman" w:cs="Times New Roman"/>
          <w:sz w:val="24"/>
          <w:szCs w:val="24"/>
          <w:lang w:val="en-US"/>
        </w:rPr>
        <w:t xml:space="preserve"> the first lockdown was then </w:t>
      </w:r>
      <w:r w:rsidR="00744AB2">
        <w:rPr>
          <w:rFonts w:ascii="Times New Roman" w:hAnsi="Times New Roman" w:cs="Times New Roman"/>
          <w:sz w:val="24"/>
          <w:szCs w:val="24"/>
          <w:lang w:val="en-US"/>
        </w:rPr>
        <w:t>39%</w:t>
      </w:r>
      <w:r w:rsidR="006D547A">
        <w:rPr>
          <w:rFonts w:ascii="Times New Roman" w:hAnsi="Times New Roman" w:cs="Times New Roman"/>
          <w:sz w:val="24"/>
          <w:szCs w:val="24"/>
          <w:lang w:val="en-US"/>
        </w:rPr>
        <w:t xml:space="preserve"> more stringent than the second, on average.  </w:t>
      </w:r>
      <w:r w:rsidR="000965E4">
        <w:rPr>
          <w:rFonts w:ascii="Times New Roman" w:hAnsi="Times New Roman" w:cs="Times New Roman"/>
          <w:sz w:val="24"/>
          <w:szCs w:val="24"/>
          <w:lang w:val="en-US"/>
        </w:rPr>
        <w:t xml:space="preserve">So, the </w:t>
      </w:r>
      <w:r w:rsidR="00A050DC">
        <w:rPr>
          <w:rFonts w:ascii="Times New Roman" w:hAnsi="Times New Roman" w:cs="Times New Roman"/>
          <w:sz w:val="24"/>
          <w:szCs w:val="24"/>
          <w:lang w:val="en-US"/>
        </w:rPr>
        <w:t xml:space="preserve">Auckland lockdown for only </w:t>
      </w:r>
      <w:r w:rsidR="00903F44">
        <w:rPr>
          <w:rFonts w:ascii="Times New Roman" w:hAnsi="Times New Roman" w:cs="Times New Roman"/>
          <w:sz w:val="24"/>
          <w:szCs w:val="24"/>
          <w:lang w:val="en-US"/>
        </w:rPr>
        <w:t xml:space="preserve">18 days </w:t>
      </w:r>
      <w:r w:rsidR="00893843">
        <w:rPr>
          <w:rFonts w:ascii="Times New Roman" w:hAnsi="Times New Roman" w:cs="Times New Roman"/>
          <w:sz w:val="24"/>
          <w:szCs w:val="24"/>
          <w:lang w:val="en-US"/>
        </w:rPr>
        <w:t xml:space="preserve">at Level 3 was </w:t>
      </w:r>
      <w:r w:rsidR="00A050DC">
        <w:rPr>
          <w:rFonts w:ascii="Times New Roman" w:hAnsi="Times New Roman" w:cs="Times New Roman"/>
          <w:sz w:val="24"/>
          <w:szCs w:val="24"/>
          <w:lang w:val="en-US"/>
        </w:rPr>
        <w:t>equivalent</w:t>
      </w:r>
      <w:r w:rsidR="006D547A">
        <w:rPr>
          <w:rFonts w:ascii="Times New Roman" w:hAnsi="Times New Roman" w:cs="Times New Roman"/>
          <w:sz w:val="24"/>
          <w:szCs w:val="24"/>
          <w:lang w:val="en-US"/>
        </w:rPr>
        <w:t xml:space="preserve"> to </w:t>
      </w:r>
      <w:r w:rsidR="00744AB2">
        <w:rPr>
          <w:rFonts w:ascii="Times New Roman" w:hAnsi="Times New Roman" w:cs="Times New Roman"/>
          <w:sz w:val="24"/>
          <w:szCs w:val="24"/>
          <w:lang w:val="en-US"/>
        </w:rPr>
        <w:t>10</w:t>
      </w:r>
      <w:r w:rsidR="006D547A">
        <w:rPr>
          <w:rFonts w:ascii="Times New Roman" w:hAnsi="Times New Roman" w:cs="Times New Roman"/>
          <w:sz w:val="24"/>
          <w:szCs w:val="24"/>
          <w:lang w:val="en-US"/>
        </w:rPr>
        <w:t>.0%</w:t>
      </w:r>
      <w:r w:rsidR="00903F44">
        <w:rPr>
          <w:rFonts w:ascii="Times New Roman" w:hAnsi="Times New Roman" w:cs="Times New Roman"/>
          <w:sz w:val="24"/>
          <w:szCs w:val="24"/>
          <w:lang w:val="en-US"/>
        </w:rPr>
        <w:t xml:space="preserve"> of the first lockdown (18</w:t>
      </w:r>
      <w:r w:rsidR="00C04D79">
        <w:rPr>
          <w:rFonts w:ascii="Times New Roman" w:hAnsi="Times New Roman" w:cs="Times New Roman"/>
          <w:sz w:val="24"/>
          <w:szCs w:val="24"/>
          <w:lang w:val="en-US"/>
        </w:rPr>
        <w:t>/51*0.38</w:t>
      </w:r>
      <w:r w:rsidR="00744AB2">
        <w:rPr>
          <w:rFonts w:ascii="Times New Roman" w:hAnsi="Times New Roman" w:cs="Times New Roman"/>
          <w:sz w:val="24"/>
          <w:szCs w:val="24"/>
          <w:lang w:val="en-US"/>
        </w:rPr>
        <w:t>/1.39</w:t>
      </w:r>
      <w:r w:rsidR="00A050DC">
        <w:rPr>
          <w:rFonts w:ascii="Times New Roman" w:hAnsi="Times New Roman" w:cs="Times New Roman"/>
          <w:sz w:val="24"/>
          <w:szCs w:val="24"/>
          <w:lang w:val="en-US"/>
        </w:rPr>
        <w:t xml:space="preserve">).  </w:t>
      </w:r>
      <w:r w:rsidR="0008394C">
        <w:rPr>
          <w:rFonts w:ascii="Times New Roman" w:hAnsi="Times New Roman" w:cs="Times New Roman"/>
          <w:sz w:val="24"/>
          <w:szCs w:val="24"/>
          <w:lang w:val="en-US"/>
        </w:rPr>
        <w:t xml:space="preserve">Substituted into equation (5), the </w:t>
      </w:r>
      <w:r w:rsidR="00707CDB">
        <w:rPr>
          <w:rFonts w:ascii="Times New Roman" w:hAnsi="Times New Roman" w:cs="Times New Roman"/>
          <w:sz w:val="24"/>
          <w:szCs w:val="24"/>
          <w:lang w:val="en-US"/>
        </w:rPr>
        <w:t>cost per Q</w:t>
      </w:r>
      <w:r w:rsidR="007E5ECB">
        <w:rPr>
          <w:rFonts w:ascii="Times New Roman" w:hAnsi="Times New Roman" w:cs="Times New Roman"/>
          <w:sz w:val="24"/>
          <w:szCs w:val="24"/>
          <w:lang w:val="en-US"/>
        </w:rPr>
        <w:t>A</w:t>
      </w:r>
      <w:r w:rsidR="00707CDB">
        <w:rPr>
          <w:rFonts w:ascii="Times New Roman" w:hAnsi="Times New Roman" w:cs="Times New Roman"/>
          <w:sz w:val="24"/>
          <w:szCs w:val="24"/>
          <w:lang w:val="en-US"/>
        </w:rPr>
        <w:t xml:space="preserve">LY saved from continued pursuit of </w:t>
      </w:r>
      <w:r w:rsidR="009A7B7D">
        <w:rPr>
          <w:rFonts w:ascii="Times New Roman" w:hAnsi="Times New Roman" w:cs="Times New Roman"/>
          <w:sz w:val="24"/>
          <w:szCs w:val="24"/>
          <w:lang w:val="en-US"/>
        </w:rPr>
        <w:t>the</w:t>
      </w:r>
      <w:r w:rsidR="00B84BB5">
        <w:rPr>
          <w:rFonts w:ascii="Times New Roman" w:hAnsi="Times New Roman" w:cs="Times New Roman"/>
          <w:sz w:val="24"/>
          <w:szCs w:val="24"/>
          <w:lang w:val="en-US"/>
        </w:rPr>
        <w:t xml:space="preserve"> lockdown policy would then be as f</w:t>
      </w:r>
      <w:r w:rsidR="00707CDB">
        <w:rPr>
          <w:rFonts w:ascii="Times New Roman" w:hAnsi="Times New Roman" w:cs="Times New Roman"/>
          <w:sz w:val="24"/>
          <w:szCs w:val="24"/>
          <w:lang w:val="en-US"/>
        </w:rPr>
        <w:t>ollows:</w:t>
      </w:r>
    </w:p>
    <w:p w:rsidR="00707CDB" w:rsidRDefault="007E4F5A" w:rsidP="00F00CE2">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 </m:t>
          </m:r>
          <m:f>
            <m:fPr>
              <m:ctrlPr>
                <w:rPr>
                  <w:rFonts w:ascii="Cambria Math" w:hAnsi="Cambria Math" w:cs="Times New Roman"/>
                  <w:i/>
                  <w:sz w:val="24"/>
                  <w:szCs w:val="24"/>
                  <w:lang w:val="en-US"/>
                </w:rPr>
              </m:ctrlPr>
            </m:fPr>
            <m:num>
              <m:r>
                <w:rPr>
                  <w:rFonts w:ascii="Cambria Math" w:hAnsi="Cambria Math" w:cs="Times New Roman"/>
                  <w:sz w:val="24"/>
                  <w:szCs w:val="24"/>
                  <w:lang w:val="en-US"/>
                </w:rPr>
                <m:t>$27b</m:t>
              </m:r>
              <m:d>
                <m:dPr>
                  <m:ctrlPr>
                    <w:rPr>
                      <w:rFonts w:ascii="Cambria Math" w:hAnsi="Cambria Math" w:cs="Times New Roman"/>
                      <w:i/>
                      <w:sz w:val="24"/>
                      <w:szCs w:val="24"/>
                      <w:lang w:val="en-US"/>
                    </w:rPr>
                  </m:ctrlPr>
                </m:dPr>
                <m:e>
                  <m:r>
                    <w:rPr>
                      <w:rFonts w:ascii="Cambria Math" w:hAnsi="Cambria Math" w:cs="Times New Roman"/>
                      <w:sz w:val="24"/>
                      <w:szCs w:val="24"/>
                      <w:lang w:val="en-US"/>
                    </w:rPr>
                    <m:t>0.10</m:t>
                  </m:r>
                </m:e>
              </m:d>
              <m:r>
                <w:rPr>
                  <w:rFonts w:ascii="Cambria Math" w:hAnsi="Cambria Math" w:cs="Times New Roman"/>
                  <w:sz w:val="24"/>
                  <w:szCs w:val="24"/>
                  <w:lang w:val="en-US"/>
                </w:rPr>
                <m:t>-$1.1b-$0.6bN</m:t>
              </m:r>
            </m:num>
            <m:den>
              <m:r>
                <w:rPr>
                  <w:rFonts w:ascii="Cambria Math" w:hAnsi="Cambria Math" w:cs="Times New Roman"/>
                  <w:sz w:val="24"/>
                  <w:szCs w:val="24"/>
                  <w:lang w:val="en-US"/>
                </w:rPr>
                <m:t>6,240(2)N</m:t>
              </m:r>
            </m:den>
          </m:f>
          <m:r>
            <w:rPr>
              <w:rFonts w:ascii="Cambria Math" w:hAnsi="Cambria Math" w:cs="Times New Roman"/>
              <w:sz w:val="24"/>
              <w:szCs w:val="24"/>
              <w:lang w:val="en-US"/>
            </w:rPr>
            <m:t xml:space="preserve">                                        (6)</m:t>
          </m:r>
        </m:oMath>
      </m:oMathPara>
    </w:p>
    <w:p w:rsidR="001E6B92" w:rsidRDefault="001E6B92" w:rsidP="006750FB">
      <w:pPr>
        <w:spacing w:after="0" w:line="360" w:lineRule="auto"/>
        <w:jc w:val="center"/>
        <w:rPr>
          <w:rFonts w:ascii="Times New Roman" w:hAnsi="Times New Roman" w:cs="Times New Roman"/>
          <w:sz w:val="24"/>
          <w:szCs w:val="24"/>
          <w:lang w:val="en-US"/>
        </w:rPr>
      </w:pPr>
    </w:p>
    <w:p w:rsidR="006C0DBA" w:rsidRDefault="00676BB6" w:rsidP="00CF5E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this to be less than the QALY value of $62,000, which would justify lockdown, </w:t>
      </w:r>
      <w:r w:rsidRPr="00AA6FE5">
        <w:rPr>
          <w:rFonts w:ascii="Times New Roman" w:hAnsi="Times New Roman" w:cs="Times New Roman"/>
          <w:i/>
          <w:sz w:val="24"/>
          <w:szCs w:val="24"/>
          <w:lang w:val="en-US"/>
        </w:rPr>
        <w:t>N</w:t>
      </w:r>
      <w:r w:rsidR="007E4F5A">
        <w:rPr>
          <w:rFonts w:ascii="Times New Roman" w:hAnsi="Times New Roman" w:cs="Times New Roman"/>
          <w:sz w:val="24"/>
          <w:szCs w:val="24"/>
          <w:lang w:val="en-US"/>
        </w:rPr>
        <w:t xml:space="preserve"> would have to be at least 1.2</w:t>
      </w:r>
      <w:r>
        <w:rPr>
          <w:rFonts w:ascii="Times New Roman" w:hAnsi="Times New Roman" w:cs="Times New Roman"/>
          <w:sz w:val="24"/>
          <w:szCs w:val="24"/>
          <w:lang w:val="en-US"/>
        </w:rPr>
        <w:t xml:space="preserve">.  This is </w:t>
      </w:r>
      <w:r w:rsidR="00AA6FE5">
        <w:rPr>
          <w:rFonts w:ascii="Times New Roman" w:hAnsi="Times New Roman" w:cs="Times New Roman"/>
          <w:sz w:val="24"/>
          <w:szCs w:val="24"/>
          <w:lang w:val="en-US"/>
        </w:rPr>
        <w:t xml:space="preserve">quite </w:t>
      </w:r>
      <w:r w:rsidR="007E4F5A">
        <w:rPr>
          <w:rFonts w:ascii="Times New Roman" w:hAnsi="Times New Roman" w:cs="Times New Roman"/>
          <w:sz w:val="24"/>
          <w:szCs w:val="24"/>
          <w:lang w:val="en-US"/>
        </w:rPr>
        <w:t>likely</w:t>
      </w:r>
      <w:r>
        <w:rPr>
          <w:rFonts w:ascii="Times New Roman" w:hAnsi="Times New Roman" w:cs="Times New Roman"/>
          <w:sz w:val="24"/>
          <w:szCs w:val="24"/>
          <w:lang w:val="en-US"/>
        </w:rPr>
        <w:t xml:space="preserve">.  </w:t>
      </w:r>
      <w:r w:rsidR="00AA6FE5">
        <w:rPr>
          <w:rFonts w:ascii="Times New Roman" w:hAnsi="Times New Roman" w:cs="Times New Roman"/>
          <w:sz w:val="24"/>
          <w:szCs w:val="24"/>
          <w:lang w:val="en-US"/>
        </w:rPr>
        <w:t xml:space="preserve">However, </w:t>
      </w:r>
      <w:r w:rsidR="003E384A">
        <w:rPr>
          <w:rFonts w:ascii="Times New Roman" w:hAnsi="Times New Roman" w:cs="Times New Roman"/>
          <w:sz w:val="24"/>
          <w:szCs w:val="24"/>
          <w:lang w:val="en-US"/>
        </w:rPr>
        <w:t xml:space="preserve">this </w:t>
      </w:r>
      <w:r w:rsidR="005A5862">
        <w:rPr>
          <w:rFonts w:ascii="Times New Roman" w:hAnsi="Times New Roman" w:cs="Times New Roman"/>
          <w:sz w:val="24"/>
          <w:szCs w:val="24"/>
          <w:lang w:val="en-US"/>
        </w:rPr>
        <w:t xml:space="preserve">conclusion rests upon using </w:t>
      </w:r>
      <w:r w:rsidR="002C4279">
        <w:rPr>
          <w:rFonts w:ascii="Times New Roman" w:hAnsi="Times New Roman" w:cs="Times New Roman"/>
          <w:sz w:val="24"/>
          <w:szCs w:val="24"/>
          <w:lang w:val="en-US"/>
        </w:rPr>
        <w:t xml:space="preserve">estimates for the </w:t>
      </w:r>
      <w:r w:rsidR="005A5862">
        <w:rPr>
          <w:rFonts w:ascii="Times New Roman" w:hAnsi="Times New Roman" w:cs="Times New Roman"/>
          <w:sz w:val="24"/>
          <w:szCs w:val="24"/>
          <w:lang w:val="en-US"/>
        </w:rPr>
        <w:t>parameter</w:t>
      </w:r>
      <w:r w:rsidR="002C4279">
        <w:rPr>
          <w:rFonts w:ascii="Times New Roman" w:hAnsi="Times New Roman" w:cs="Times New Roman"/>
          <w:sz w:val="24"/>
          <w:szCs w:val="24"/>
          <w:lang w:val="en-US"/>
        </w:rPr>
        <w:t xml:space="preserve">s </w:t>
      </w:r>
      <w:r w:rsidR="007E4F5A">
        <w:rPr>
          <w:rFonts w:ascii="Times New Roman" w:hAnsi="Times New Roman" w:cs="Times New Roman"/>
          <w:sz w:val="24"/>
          <w:szCs w:val="24"/>
          <w:lang w:val="en-US"/>
        </w:rPr>
        <w:t>in equation (6</w:t>
      </w:r>
      <w:r w:rsidR="005A5862">
        <w:rPr>
          <w:rFonts w:ascii="Times New Roman" w:hAnsi="Times New Roman" w:cs="Times New Roman"/>
          <w:sz w:val="24"/>
          <w:szCs w:val="24"/>
          <w:lang w:val="en-US"/>
        </w:rPr>
        <w:t>)</w:t>
      </w:r>
      <w:r w:rsidR="002C4279">
        <w:rPr>
          <w:rFonts w:ascii="Times New Roman" w:hAnsi="Times New Roman" w:cs="Times New Roman"/>
          <w:sz w:val="24"/>
          <w:szCs w:val="24"/>
          <w:lang w:val="en-US"/>
        </w:rPr>
        <w:t xml:space="preserve"> that </w:t>
      </w:r>
      <w:proofErr w:type="gramStart"/>
      <w:r w:rsidR="002C4279">
        <w:rPr>
          <w:rFonts w:ascii="Times New Roman" w:hAnsi="Times New Roman" w:cs="Times New Roman"/>
          <w:sz w:val="24"/>
          <w:szCs w:val="24"/>
          <w:lang w:val="en-US"/>
        </w:rPr>
        <w:t>are</w:t>
      </w:r>
      <w:proofErr w:type="gramEnd"/>
      <w:r w:rsidR="002C4279">
        <w:rPr>
          <w:rFonts w:ascii="Times New Roman" w:hAnsi="Times New Roman" w:cs="Times New Roman"/>
          <w:sz w:val="24"/>
          <w:szCs w:val="24"/>
          <w:lang w:val="en-US"/>
        </w:rPr>
        <w:t xml:space="preserve"> most </w:t>
      </w:r>
      <w:proofErr w:type="spellStart"/>
      <w:r w:rsidR="002C4279">
        <w:rPr>
          <w:rFonts w:ascii="Times New Roman" w:hAnsi="Times New Roman" w:cs="Times New Roman"/>
          <w:sz w:val="24"/>
          <w:szCs w:val="24"/>
          <w:lang w:val="en-US"/>
        </w:rPr>
        <w:t>favourable</w:t>
      </w:r>
      <w:proofErr w:type="spellEnd"/>
      <w:r w:rsidR="002C4279">
        <w:rPr>
          <w:rFonts w:ascii="Times New Roman" w:hAnsi="Times New Roman" w:cs="Times New Roman"/>
          <w:sz w:val="24"/>
          <w:szCs w:val="24"/>
          <w:lang w:val="en-US"/>
        </w:rPr>
        <w:t xml:space="preserve"> to a lockdown decision</w:t>
      </w:r>
      <w:r w:rsidR="005A5862">
        <w:rPr>
          <w:rFonts w:ascii="Times New Roman" w:hAnsi="Times New Roman" w:cs="Times New Roman"/>
          <w:sz w:val="24"/>
          <w:szCs w:val="24"/>
          <w:lang w:val="en-US"/>
        </w:rPr>
        <w:t>.  It also rests upon ignoring various phenomena that would raise the costs of lockdowns but cannot be quantified: problems arising from the increased unemployment (addiction, crime, domestic violence, mental health problems, and premature death), disruption to the normal operation of the health care system leading to deaths that would not otherwise occur, disruption to the education of the Covid-19 student cohort</w:t>
      </w:r>
      <w:r w:rsidR="005B69A9">
        <w:rPr>
          <w:rFonts w:ascii="Times New Roman" w:hAnsi="Times New Roman" w:cs="Times New Roman"/>
          <w:sz w:val="24"/>
          <w:szCs w:val="24"/>
          <w:lang w:val="en-US"/>
        </w:rPr>
        <w:t>, and the deprival of liberties that people would otherwise enjoy</w:t>
      </w:r>
      <w:r w:rsidR="005A5862">
        <w:rPr>
          <w:rFonts w:ascii="Times New Roman" w:hAnsi="Times New Roman" w:cs="Times New Roman"/>
          <w:sz w:val="24"/>
          <w:szCs w:val="24"/>
          <w:lang w:val="en-US"/>
        </w:rPr>
        <w:t xml:space="preserve">.  It also assumes that </w:t>
      </w:r>
      <w:r w:rsidR="00C95DCD">
        <w:rPr>
          <w:rFonts w:ascii="Times New Roman" w:hAnsi="Times New Roman" w:cs="Times New Roman"/>
          <w:sz w:val="24"/>
          <w:szCs w:val="24"/>
          <w:lang w:val="en-US"/>
        </w:rPr>
        <w:t xml:space="preserve">on 12 August it was reasonable to believe that </w:t>
      </w:r>
      <w:r w:rsidR="0008394C">
        <w:rPr>
          <w:rFonts w:ascii="Times New Roman" w:hAnsi="Times New Roman" w:cs="Times New Roman"/>
          <w:sz w:val="24"/>
          <w:szCs w:val="24"/>
          <w:lang w:val="en-US"/>
        </w:rPr>
        <w:t xml:space="preserve">no further </w:t>
      </w:r>
      <w:r w:rsidR="00345FEA">
        <w:rPr>
          <w:rFonts w:ascii="Times New Roman" w:hAnsi="Times New Roman" w:cs="Times New Roman"/>
          <w:sz w:val="24"/>
          <w:szCs w:val="24"/>
          <w:lang w:val="en-US"/>
        </w:rPr>
        <w:t xml:space="preserve">outbreaks </w:t>
      </w:r>
      <w:r w:rsidR="00C95DCD">
        <w:rPr>
          <w:rFonts w:ascii="Times New Roman" w:hAnsi="Times New Roman" w:cs="Times New Roman"/>
          <w:sz w:val="24"/>
          <w:szCs w:val="24"/>
          <w:lang w:val="en-US"/>
        </w:rPr>
        <w:t xml:space="preserve">would occur </w:t>
      </w:r>
      <w:r w:rsidR="00345FEA">
        <w:rPr>
          <w:rFonts w:ascii="Times New Roman" w:hAnsi="Times New Roman" w:cs="Times New Roman"/>
          <w:sz w:val="24"/>
          <w:szCs w:val="24"/>
          <w:lang w:val="en-US"/>
        </w:rPr>
        <w:t>elsewhere in the country or again in Auckland</w:t>
      </w:r>
      <w:r w:rsidR="00DB1B9C">
        <w:rPr>
          <w:rFonts w:ascii="Times New Roman" w:hAnsi="Times New Roman" w:cs="Times New Roman"/>
          <w:sz w:val="24"/>
          <w:szCs w:val="24"/>
          <w:lang w:val="en-US"/>
        </w:rPr>
        <w:t xml:space="preserve"> that would have led to </w:t>
      </w:r>
      <w:r w:rsidR="00E178B0">
        <w:rPr>
          <w:rFonts w:ascii="Times New Roman" w:hAnsi="Times New Roman" w:cs="Times New Roman"/>
          <w:sz w:val="24"/>
          <w:szCs w:val="24"/>
          <w:lang w:val="en-US"/>
        </w:rPr>
        <w:t xml:space="preserve">further </w:t>
      </w:r>
      <w:r w:rsidR="00DB1B9C">
        <w:rPr>
          <w:rFonts w:ascii="Times New Roman" w:hAnsi="Times New Roman" w:cs="Times New Roman"/>
          <w:sz w:val="24"/>
          <w:szCs w:val="24"/>
          <w:lang w:val="en-US"/>
        </w:rPr>
        <w:t>lockdowns under the lockdown policy</w:t>
      </w:r>
      <w:r w:rsidR="0008394C">
        <w:rPr>
          <w:rFonts w:ascii="Times New Roman" w:hAnsi="Times New Roman" w:cs="Times New Roman"/>
          <w:sz w:val="24"/>
          <w:szCs w:val="24"/>
          <w:lang w:val="en-US"/>
        </w:rPr>
        <w:t xml:space="preserve">.  </w:t>
      </w:r>
      <w:r w:rsidR="00AA6FE5">
        <w:rPr>
          <w:rFonts w:ascii="Times New Roman" w:hAnsi="Times New Roman" w:cs="Times New Roman"/>
          <w:sz w:val="24"/>
          <w:szCs w:val="24"/>
          <w:lang w:val="en-US"/>
        </w:rPr>
        <w:t xml:space="preserve">Taking account of these </w:t>
      </w:r>
      <w:r w:rsidR="00AA6FE5">
        <w:rPr>
          <w:rFonts w:ascii="Times New Roman" w:hAnsi="Times New Roman" w:cs="Times New Roman"/>
          <w:sz w:val="24"/>
          <w:szCs w:val="24"/>
          <w:lang w:val="en-US"/>
        </w:rPr>
        <w:lastRenderedPageBreak/>
        <w:t>additional factors, it is not possible to clearly conclude either way on the merits of the Auckland lockdown decision.</w:t>
      </w:r>
    </w:p>
    <w:p w:rsidR="00D60562" w:rsidRDefault="00D60562" w:rsidP="00CF5EF9">
      <w:pPr>
        <w:spacing w:after="0" w:line="360" w:lineRule="auto"/>
        <w:jc w:val="both"/>
        <w:rPr>
          <w:rFonts w:ascii="Times New Roman" w:hAnsi="Times New Roman" w:cs="Times New Roman"/>
          <w:sz w:val="24"/>
          <w:szCs w:val="24"/>
          <w:lang w:val="en-US"/>
        </w:rPr>
      </w:pPr>
    </w:p>
    <w:p w:rsidR="00D60562" w:rsidRDefault="00D60562" w:rsidP="00CF5EF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Repeating this process using information available on 30 November, the result is the same.</w:t>
      </w:r>
    </w:p>
    <w:p w:rsidR="00CF5EF9" w:rsidRDefault="00CF5EF9" w:rsidP="00CF5EF9">
      <w:pPr>
        <w:spacing w:after="0" w:line="360" w:lineRule="auto"/>
        <w:jc w:val="both"/>
        <w:rPr>
          <w:rFonts w:ascii="Times New Roman" w:hAnsi="Times New Roman" w:cs="Times New Roman"/>
          <w:sz w:val="24"/>
          <w:szCs w:val="24"/>
          <w:lang w:val="en-US"/>
        </w:rPr>
      </w:pPr>
    </w:p>
    <w:p w:rsidR="006C0DBA" w:rsidRPr="0045093B" w:rsidRDefault="006C0DBA" w:rsidP="006C0DB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James et al (2020b) have also examined the Auckland lockdown decision, but focused upon the relative merits of Level 3 versus </w:t>
      </w:r>
      <w:r w:rsidR="001903FD">
        <w:rPr>
          <w:rFonts w:ascii="Times New Roman" w:hAnsi="Times New Roman" w:cs="Times New Roman"/>
          <w:sz w:val="24"/>
          <w:szCs w:val="24"/>
          <w:lang w:val="en-US"/>
        </w:rPr>
        <w:t>4 lockdowns</w:t>
      </w:r>
      <w:r>
        <w:rPr>
          <w:rFonts w:ascii="Times New Roman" w:hAnsi="Times New Roman" w:cs="Times New Roman"/>
          <w:sz w:val="24"/>
          <w:szCs w:val="24"/>
          <w:lang w:val="en-US"/>
        </w:rPr>
        <w:t xml:space="preserve">.  </w:t>
      </w:r>
      <w:r w:rsidR="001903FD">
        <w:rPr>
          <w:rFonts w:ascii="Times New Roman" w:hAnsi="Times New Roman" w:cs="Times New Roman"/>
          <w:sz w:val="24"/>
          <w:szCs w:val="24"/>
          <w:lang w:val="en-US"/>
        </w:rPr>
        <w:t xml:space="preserve">In their earlier paper concerned with the March lockdown decision, James et al (2020a) did not present any </w:t>
      </w:r>
      <w:r>
        <w:rPr>
          <w:rFonts w:ascii="Times New Roman" w:hAnsi="Times New Roman" w:cs="Times New Roman"/>
          <w:sz w:val="24"/>
          <w:szCs w:val="24"/>
          <w:lang w:val="en-US"/>
        </w:rPr>
        <w:t>i</w:t>
      </w:r>
      <w:r w:rsidR="001903FD">
        <w:rPr>
          <w:rFonts w:ascii="Times New Roman" w:hAnsi="Times New Roman" w:cs="Times New Roman"/>
          <w:sz w:val="24"/>
          <w:szCs w:val="24"/>
          <w:lang w:val="en-US"/>
        </w:rPr>
        <w:t>nformation on, or even recognize</w:t>
      </w:r>
      <w:r>
        <w:rPr>
          <w:rFonts w:ascii="Times New Roman" w:hAnsi="Times New Roman" w:cs="Times New Roman"/>
          <w:sz w:val="24"/>
          <w:szCs w:val="24"/>
          <w:lang w:val="en-US"/>
        </w:rPr>
        <w:t xml:space="preserve"> the relevance of, the costs of adopting the various strategies considered by them</w:t>
      </w:r>
      <w:r w:rsidR="001903FD">
        <w:rPr>
          <w:rFonts w:ascii="Times New Roman" w:hAnsi="Times New Roman" w:cs="Times New Roman"/>
          <w:sz w:val="24"/>
          <w:szCs w:val="24"/>
          <w:lang w:val="en-US"/>
        </w:rPr>
        <w:t>, and therefore their goal seemed</w:t>
      </w:r>
      <w:r>
        <w:rPr>
          <w:rFonts w:ascii="Times New Roman" w:hAnsi="Times New Roman" w:cs="Times New Roman"/>
          <w:sz w:val="24"/>
          <w:szCs w:val="24"/>
          <w:lang w:val="en-US"/>
        </w:rPr>
        <w:t xml:space="preserve"> to be to minimize the number of deaths regardless of the cost.  </w:t>
      </w:r>
      <w:r w:rsidR="001903FD">
        <w:rPr>
          <w:rFonts w:ascii="Times New Roman" w:hAnsi="Times New Roman" w:cs="Times New Roman"/>
          <w:sz w:val="24"/>
          <w:szCs w:val="24"/>
          <w:lang w:val="en-US"/>
        </w:rPr>
        <w:t xml:space="preserve">By contrast, James et al (2020b) estimate the </w:t>
      </w:r>
      <w:r>
        <w:rPr>
          <w:rFonts w:ascii="Times New Roman" w:hAnsi="Times New Roman" w:cs="Times New Roman"/>
          <w:sz w:val="24"/>
          <w:szCs w:val="24"/>
          <w:lang w:val="en-US"/>
        </w:rPr>
        <w:t xml:space="preserve">economic costs of </w:t>
      </w:r>
      <w:r w:rsidR="001903FD">
        <w:rPr>
          <w:rFonts w:ascii="Times New Roman" w:hAnsi="Times New Roman" w:cs="Times New Roman"/>
          <w:sz w:val="24"/>
          <w:szCs w:val="24"/>
          <w:lang w:val="en-US"/>
        </w:rPr>
        <w:t>Level 3 and 4 lockdowns</w:t>
      </w:r>
      <w:r w:rsidR="0048733D">
        <w:rPr>
          <w:rFonts w:ascii="Times New Roman" w:hAnsi="Times New Roman" w:cs="Times New Roman"/>
          <w:sz w:val="24"/>
          <w:szCs w:val="24"/>
          <w:lang w:val="en-US"/>
        </w:rPr>
        <w:t>, and in particular the GDP losses that would have been incurred under Level 3 and 4 lockdowns if each were sustained for the period necessary to raise the probability of eliminating the outbreak to 50%.</w:t>
      </w:r>
      <w:r>
        <w:rPr>
          <w:rFonts w:ascii="Times New Roman" w:hAnsi="Times New Roman" w:cs="Times New Roman"/>
          <w:sz w:val="24"/>
          <w:szCs w:val="24"/>
          <w:lang w:val="en-US"/>
        </w:rPr>
        <w:t xml:space="preserve">  </w:t>
      </w:r>
      <w:r w:rsidR="0048733D">
        <w:rPr>
          <w:rFonts w:ascii="Times New Roman" w:hAnsi="Times New Roman" w:cs="Times New Roman"/>
          <w:sz w:val="24"/>
          <w:szCs w:val="24"/>
          <w:lang w:val="en-US"/>
        </w:rPr>
        <w:t xml:space="preserve">They find a </w:t>
      </w:r>
      <w:r w:rsidR="00C174E7">
        <w:rPr>
          <w:rFonts w:ascii="Times New Roman" w:hAnsi="Times New Roman" w:cs="Times New Roman"/>
          <w:sz w:val="24"/>
          <w:szCs w:val="24"/>
          <w:lang w:val="en-US"/>
        </w:rPr>
        <w:t xml:space="preserve">modest such </w:t>
      </w:r>
      <w:r w:rsidR="0048733D">
        <w:rPr>
          <w:rFonts w:ascii="Times New Roman" w:hAnsi="Times New Roman" w:cs="Times New Roman"/>
          <w:sz w:val="24"/>
          <w:szCs w:val="24"/>
          <w:lang w:val="en-US"/>
        </w:rPr>
        <w:t>advantage to Level 4, because the expected time in lockdown to reach their epidemiological target is shorter</w:t>
      </w:r>
      <w:r w:rsidR="00C174E7">
        <w:rPr>
          <w:rFonts w:ascii="Times New Roman" w:hAnsi="Times New Roman" w:cs="Times New Roman"/>
          <w:sz w:val="24"/>
          <w:szCs w:val="24"/>
          <w:lang w:val="en-US"/>
        </w:rPr>
        <w:t xml:space="preserve"> in Level 4</w:t>
      </w:r>
      <w:r w:rsidR="0048733D">
        <w:rPr>
          <w:rFonts w:ascii="Times New Roman" w:hAnsi="Times New Roman" w:cs="Times New Roman"/>
          <w:sz w:val="24"/>
          <w:szCs w:val="24"/>
          <w:lang w:val="en-US"/>
        </w:rPr>
        <w:t xml:space="preserve">, which more than compensates for the higher costs per day.  </w:t>
      </w:r>
      <w:r w:rsidR="006F20D5">
        <w:rPr>
          <w:rFonts w:ascii="Times New Roman" w:hAnsi="Times New Roman" w:cs="Times New Roman"/>
          <w:sz w:val="24"/>
          <w:szCs w:val="24"/>
          <w:lang w:val="en-US"/>
        </w:rPr>
        <w:t>However</w:t>
      </w:r>
      <w:r>
        <w:rPr>
          <w:rFonts w:ascii="Times New Roman" w:hAnsi="Times New Roman" w:cs="Times New Roman"/>
          <w:sz w:val="24"/>
          <w:szCs w:val="24"/>
          <w:lang w:val="en-US"/>
        </w:rPr>
        <w:t xml:space="preserve">, and despite referring to the use of </w:t>
      </w:r>
      <w:r w:rsidR="006F20D5">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QALY </w:t>
      </w:r>
      <w:r w:rsidR="006F20D5">
        <w:rPr>
          <w:rFonts w:ascii="Times New Roman" w:hAnsi="Times New Roman" w:cs="Times New Roman"/>
          <w:sz w:val="24"/>
          <w:szCs w:val="24"/>
          <w:lang w:val="en-US"/>
        </w:rPr>
        <w:t xml:space="preserve">approach </w:t>
      </w:r>
      <w:r>
        <w:rPr>
          <w:rFonts w:ascii="Times New Roman" w:hAnsi="Times New Roman" w:cs="Times New Roman"/>
          <w:sz w:val="24"/>
          <w:szCs w:val="24"/>
          <w:lang w:val="en-US"/>
        </w:rPr>
        <w:t xml:space="preserve">in other papers and even appearing to recommend such an approach to the Auckland </w:t>
      </w:r>
      <w:r w:rsidR="001903FD">
        <w:rPr>
          <w:rFonts w:ascii="Times New Roman" w:hAnsi="Times New Roman" w:cs="Times New Roman"/>
          <w:sz w:val="24"/>
          <w:szCs w:val="24"/>
          <w:lang w:val="en-US"/>
        </w:rPr>
        <w:t>decision</w:t>
      </w:r>
      <w:r w:rsidR="00C174E7">
        <w:rPr>
          <w:rFonts w:ascii="Times New Roman" w:hAnsi="Times New Roman" w:cs="Times New Roman"/>
          <w:sz w:val="24"/>
          <w:szCs w:val="24"/>
          <w:lang w:val="en-US"/>
        </w:rPr>
        <w:t xml:space="preserve"> (bid, page 10)</w:t>
      </w:r>
      <w:r w:rsidR="001903FD">
        <w:rPr>
          <w:rFonts w:ascii="Times New Roman" w:hAnsi="Times New Roman" w:cs="Times New Roman"/>
          <w:sz w:val="24"/>
          <w:szCs w:val="24"/>
          <w:lang w:val="en-US"/>
        </w:rPr>
        <w:t>, they do not adopt it themselves</w:t>
      </w:r>
      <w:r w:rsidR="00C174E7">
        <w:rPr>
          <w:rFonts w:ascii="Times New Roman" w:hAnsi="Times New Roman" w:cs="Times New Roman"/>
          <w:sz w:val="24"/>
          <w:szCs w:val="24"/>
          <w:lang w:val="en-US"/>
        </w:rPr>
        <w:t xml:space="preserve"> nor offer a reason for </w:t>
      </w:r>
      <w:r w:rsidR="008B194A">
        <w:rPr>
          <w:rFonts w:ascii="Times New Roman" w:hAnsi="Times New Roman" w:cs="Times New Roman"/>
          <w:sz w:val="24"/>
          <w:szCs w:val="24"/>
          <w:lang w:val="en-US"/>
        </w:rPr>
        <w:t>failing to do so</w:t>
      </w:r>
      <w:r w:rsidR="001903FD">
        <w:rPr>
          <w:rFonts w:ascii="Times New Roman" w:hAnsi="Times New Roman" w:cs="Times New Roman"/>
          <w:sz w:val="24"/>
          <w:szCs w:val="24"/>
          <w:lang w:val="en-US"/>
        </w:rPr>
        <w:t xml:space="preserve">.  </w:t>
      </w:r>
      <w:r w:rsidR="0048733D">
        <w:rPr>
          <w:rFonts w:ascii="Times New Roman" w:hAnsi="Times New Roman" w:cs="Times New Roman"/>
          <w:sz w:val="24"/>
          <w:szCs w:val="24"/>
          <w:lang w:val="en-US"/>
        </w:rPr>
        <w:t xml:space="preserve">Furthermore, </w:t>
      </w:r>
      <w:r w:rsidR="00F837D3">
        <w:rPr>
          <w:rFonts w:ascii="Times New Roman" w:hAnsi="Times New Roman" w:cs="Times New Roman"/>
          <w:sz w:val="24"/>
          <w:szCs w:val="24"/>
          <w:lang w:val="en-US"/>
        </w:rPr>
        <w:t xml:space="preserve">their GDP losses are merely for the days in which the lockdown operates, </w:t>
      </w:r>
      <w:r w:rsidR="00C174E7">
        <w:rPr>
          <w:rFonts w:ascii="Times New Roman" w:hAnsi="Times New Roman" w:cs="Times New Roman"/>
          <w:sz w:val="24"/>
          <w:szCs w:val="24"/>
          <w:lang w:val="en-US"/>
        </w:rPr>
        <w:t xml:space="preserve">and therefore </w:t>
      </w:r>
      <w:r w:rsidR="006771F7">
        <w:rPr>
          <w:rFonts w:ascii="Times New Roman" w:hAnsi="Times New Roman" w:cs="Times New Roman"/>
          <w:sz w:val="24"/>
          <w:szCs w:val="24"/>
          <w:lang w:val="en-US"/>
        </w:rPr>
        <w:t xml:space="preserve">they </w:t>
      </w:r>
      <w:r w:rsidR="00C174E7">
        <w:rPr>
          <w:rFonts w:ascii="Times New Roman" w:hAnsi="Times New Roman" w:cs="Times New Roman"/>
          <w:sz w:val="24"/>
          <w:szCs w:val="24"/>
          <w:lang w:val="en-US"/>
        </w:rPr>
        <w:t>implicitly assume</w:t>
      </w:r>
      <w:r w:rsidR="00F837D3">
        <w:rPr>
          <w:rFonts w:ascii="Times New Roman" w:hAnsi="Times New Roman" w:cs="Times New Roman"/>
          <w:sz w:val="24"/>
          <w:szCs w:val="24"/>
          <w:lang w:val="en-US"/>
        </w:rPr>
        <w:t xml:space="preserve"> that removal of restrictions leads to </w:t>
      </w:r>
      <w:r w:rsidR="00C174E7">
        <w:rPr>
          <w:rFonts w:ascii="Times New Roman" w:hAnsi="Times New Roman" w:cs="Times New Roman"/>
          <w:sz w:val="24"/>
          <w:szCs w:val="24"/>
          <w:lang w:val="en-US"/>
        </w:rPr>
        <w:t xml:space="preserve">the </w:t>
      </w:r>
      <w:r w:rsidR="00F837D3">
        <w:rPr>
          <w:rFonts w:ascii="Times New Roman" w:hAnsi="Times New Roman" w:cs="Times New Roman"/>
          <w:sz w:val="24"/>
          <w:szCs w:val="24"/>
          <w:lang w:val="en-US"/>
        </w:rPr>
        <w:t>immediate reversion of GDP to the path it would otherwise have followed.  However, as shown in T</w:t>
      </w:r>
      <w:r w:rsidR="00C174E7">
        <w:rPr>
          <w:rFonts w:ascii="Times New Roman" w:hAnsi="Times New Roman" w:cs="Times New Roman"/>
          <w:sz w:val="24"/>
          <w:szCs w:val="24"/>
          <w:lang w:val="en-US"/>
        </w:rPr>
        <w:t>able 1 and Table 4 above, it is expected to take several years to fully recover from a lockdown and there is no reason to suppose the entire such costs are the same multiple of the costs during the lockdown for both Level 3 and 4.</w:t>
      </w:r>
      <w:r w:rsidR="00380174">
        <w:rPr>
          <w:rFonts w:ascii="Times New Roman" w:hAnsi="Times New Roman" w:cs="Times New Roman"/>
          <w:sz w:val="24"/>
          <w:szCs w:val="24"/>
          <w:lang w:val="en-US"/>
        </w:rPr>
        <w:t xml:space="preserve">  In addition, they attribute all GDP losses to the lockdown, whereas a substantial fraction would be due to actions taken by individ</w:t>
      </w:r>
      <w:r w:rsidR="00AE082E">
        <w:rPr>
          <w:rFonts w:ascii="Times New Roman" w:hAnsi="Times New Roman" w:cs="Times New Roman"/>
          <w:sz w:val="24"/>
          <w:szCs w:val="24"/>
          <w:lang w:val="en-US"/>
        </w:rPr>
        <w:t>uals in response to an outbreak, and the fraction will likely differ across Levels 3 and 4 lockdowns.</w:t>
      </w:r>
    </w:p>
    <w:p w:rsidR="006D3970" w:rsidRDefault="006D3970" w:rsidP="00F00CE2">
      <w:pPr>
        <w:spacing w:after="0" w:line="360" w:lineRule="auto"/>
        <w:jc w:val="both"/>
        <w:rPr>
          <w:rFonts w:ascii="Times New Roman" w:hAnsi="Times New Roman" w:cs="Times New Roman"/>
          <w:sz w:val="24"/>
          <w:szCs w:val="24"/>
          <w:lang w:val="en-US"/>
        </w:rPr>
      </w:pPr>
    </w:p>
    <w:p w:rsidR="00CF5ACC" w:rsidRDefault="006750FB" w:rsidP="00CF5AC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w:t>
      </w:r>
      <w:r w:rsidR="00D6234B">
        <w:rPr>
          <w:rFonts w:ascii="Times New Roman" w:hAnsi="Times New Roman" w:cs="Times New Roman"/>
          <w:sz w:val="24"/>
          <w:szCs w:val="24"/>
          <w:lang w:val="en-US"/>
        </w:rPr>
        <w:t>it is not possible to clearly conclude either way on the merits of the Auckland lockdown decision</w:t>
      </w:r>
      <w:r w:rsidR="00D60562">
        <w:rPr>
          <w:rFonts w:ascii="Times New Roman" w:hAnsi="Times New Roman" w:cs="Times New Roman"/>
          <w:sz w:val="24"/>
          <w:szCs w:val="24"/>
          <w:lang w:val="en-US"/>
        </w:rPr>
        <w:t>, based upon information available both at the time and subsequently</w:t>
      </w:r>
      <w:r w:rsidR="00D6234B">
        <w:rPr>
          <w:rFonts w:ascii="Times New Roman" w:hAnsi="Times New Roman" w:cs="Times New Roman"/>
          <w:sz w:val="24"/>
          <w:szCs w:val="24"/>
          <w:lang w:val="en-US"/>
        </w:rPr>
        <w:t>.</w:t>
      </w:r>
    </w:p>
    <w:p w:rsidR="00F04AC2" w:rsidRDefault="00F04AC2" w:rsidP="00F04AC2">
      <w:pPr>
        <w:spacing w:after="0" w:line="360" w:lineRule="auto"/>
        <w:jc w:val="both"/>
        <w:rPr>
          <w:rFonts w:ascii="Times New Roman" w:hAnsi="Times New Roman" w:cs="Times New Roman"/>
          <w:sz w:val="24"/>
          <w:szCs w:val="24"/>
          <w:lang w:val="en-US"/>
        </w:rPr>
      </w:pPr>
    </w:p>
    <w:p w:rsidR="00DC0A31" w:rsidRPr="00DC0A31" w:rsidRDefault="00035EC2" w:rsidP="00DC0A31">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Looking Forward on 30</w:t>
      </w:r>
      <w:r w:rsidR="000578B5">
        <w:rPr>
          <w:rFonts w:ascii="Times New Roman" w:hAnsi="Times New Roman" w:cs="Times New Roman"/>
          <w:b/>
          <w:sz w:val="24"/>
          <w:szCs w:val="24"/>
          <w:lang w:val="en-US"/>
        </w:rPr>
        <w:t xml:space="preserve"> November</w:t>
      </w:r>
    </w:p>
    <w:p w:rsidR="00DC0A31" w:rsidRDefault="00DC0A31" w:rsidP="00F00CE2">
      <w:pPr>
        <w:spacing w:after="0" w:line="360" w:lineRule="auto"/>
        <w:jc w:val="both"/>
        <w:rPr>
          <w:rFonts w:ascii="Times New Roman" w:hAnsi="Times New Roman" w:cs="Times New Roman"/>
          <w:sz w:val="24"/>
          <w:szCs w:val="24"/>
          <w:lang w:val="en-US"/>
        </w:rPr>
      </w:pPr>
    </w:p>
    <w:p w:rsidR="000C51FD" w:rsidRDefault="000578B5" w:rsidP="00F00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 now consider the appropriate course of action looking forwards at the present time (</w:t>
      </w:r>
      <w:r w:rsidR="00DB072F">
        <w:rPr>
          <w:rFonts w:ascii="Times New Roman" w:hAnsi="Times New Roman" w:cs="Times New Roman"/>
          <w:sz w:val="24"/>
          <w:szCs w:val="24"/>
          <w:lang w:val="en-US"/>
        </w:rPr>
        <w:t>30</w:t>
      </w:r>
      <w:r>
        <w:rPr>
          <w:rFonts w:ascii="Times New Roman" w:hAnsi="Times New Roman" w:cs="Times New Roman"/>
          <w:sz w:val="24"/>
          <w:szCs w:val="24"/>
          <w:lang w:val="en-US"/>
        </w:rPr>
        <w:t xml:space="preserve"> November).  Deaths and GDP losses to date are sunk, and therefore should be ignored.  </w:t>
      </w:r>
      <w:r w:rsidR="003070E8">
        <w:rPr>
          <w:rFonts w:ascii="Times New Roman" w:hAnsi="Times New Roman" w:cs="Times New Roman"/>
          <w:sz w:val="24"/>
          <w:szCs w:val="24"/>
          <w:lang w:val="en-US"/>
        </w:rPr>
        <w:t xml:space="preserve">Since the Auckland lockdown there have been a number of cases in which a person outside the border quarantine zone has tested positive (“community cases”).  These cases have been dealt with </w:t>
      </w:r>
      <w:r w:rsidR="00BF3D4B">
        <w:rPr>
          <w:rFonts w:ascii="Times New Roman" w:hAnsi="Times New Roman" w:cs="Times New Roman"/>
          <w:sz w:val="24"/>
          <w:szCs w:val="24"/>
          <w:lang w:val="en-US"/>
        </w:rPr>
        <w:t xml:space="preserve">so far </w:t>
      </w:r>
      <w:r w:rsidR="003070E8">
        <w:rPr>
          <w:rFonts w:ascii="Times New Roman" w:hAnsi="Times New Roman" w:cs="Times New Roman"/>
          <w:sz w:val="24"/>
          <w:szCs w:val="24"/>
          <w:lang w:val="en-US"/>
        </w:rPr>
        <w:t xml:space="preserve">by quarantining of the infected individuals and any </w:t>
      </w:r>
      <w:r w:rsidR="00BF3D4B">
        <w:rPr>
          <w:rFonts w:ascii="Times New Roman" w:hAnsi="Times New Roman" w:cs="Times New Roman"/>
          <w:sz w:val="24"/>
          <w:szCs w:val="24"/>
          <w:lang w:val="en-US"/>
        </w:rPr>
        <w:t xml:space="preserve">of their </w:t>
      </w:r>
      <w:r w:rsidR="003070E8">
        <w:rPr>
          <w:rFonts w:ascii="Times New Roman" w:hAnsi="Times New Roman" w:cs="Times New Roman"/>
          <w:sz w:val="24"/>
          <w:szCs w:val="24"/>
          <w:lang w:val="en-US"/>
        </w:rPr>
        <w:t xml:space="preserve">contacts also found to be infected.  However, at any time, such an approach </w:t>
      </w:r>
      <w:r w:rsidR="00E4387E">
        <w:rPr>
          <w:rFonts w:ascii="Times New Roman" w:hAnsi="Times New Roman" w:cs="Times New Roman"/>
          <w:sz w:val="24"/>
          <w:szCs w:val="24"/>
          <w:lang w:val="en-US"/>
        </w:rPr>
        <w:t xml:space="preserve">might prove to be </w:t>
      </w:r>
      <w:r w:rsidR="003070E8">
        <w:rPr>
          <w:rFonts w:ascii="Times New Roman" w:hAnsi="Times New Roman" w:cs="Times New Roman"/>
          <w:sz w:val="24"/>
          <w:szCs w:val="24"/>
          <w:lang w:val="en-US"/>
        </w:rPr>
        <w:t xml:space="preserve">insufficient to </w:t>
      </w:r>
      <w:r w:rsidR="00616B98">
        <w:rPr>
          <w:rFonts w:ascii="Times New Roman" w:hAnsi="Times New Roman" w:cs="Times New Roman"/>
          <w:sz w:val="24"/>
          <w:szCs w:val="24"/>
          <w:lang w:val="en-US"/>
        </w:rPr>
        <w:t xml:space="preserve">contain </w:t>
      </w:r>
      <w:r w:rsidR="00B27890">
        <w:rPr>
          <w:rFonts w:ascii="Times New Roman" w:hAnsi="Times New Roman" w:cs="Times New Roman"/>
          <w:sz w:val="24"/>
          <w:szCs w:val="24"/>
          <w:lang w:val="en-US"/>
        </w:rPr>
        <w:t xml:space="preserve">an </w:t>
      </w:r>
      <w:r w:rsidR="003070E8">
        <w:rPr>
          <w:rFonts w:ascii="Times New Roman" w:hAnsi="Times New Roman" w:cs="Times New Roman"/>
          <w:sz w:val="24"/>
          <w:szCs w:val="24"/>
          <w:lang w:val="en-US"/>
        </w:rPr>
        <w:t>outbreak, and therefore the question of lockdown would again arise</w:t>
      </w:r>
      <w:r w:rsidR="004B752E">
        <w:rPr>
          <w:rFonts w:ascii="Times New Roman" w:hAnsi="Times New Roman" w:cs="Times New Roman"/>
          <w:sz w:val="24"/>
          <w:szCs w:val="24"/>
          <w:lang w:val="en-US"/>
        </w:rPr>
        <w:t xml:space="preserve"> (as it did with the </w:t>
      </w:r>
      <w:r w:rsidR="00667D9E">
        <w:rPr>
          <w:rFonts w:ascii="Times New Roman" w:hAnsi="Times New Roman" w:cs="Times New Roman"/>
          <w:sz w:val="24"/>
          <w:szCs w:val="24"/>
          <w:lang w:val="en-US"/>
        </w:rPr>
        <w:t xml:space="preserve">August </w:t>
      </w:r>
      <w:r w:rsidR="004B752E">
        <w:rPr>
          <w:rFonts w:ascii="Times New Roman" w:hAnsi="Times New Roman" w:cs="Times New Roman"/>
          <w:sz w:val="24"/>
          <w:szCs w:val="24"/>
          <w:lang w:val="en-US"/>
        </w:rPr>
        <w:t>Auckland lockdown decision)</w:t>
      </w:r>
      <w:r w:rsidR="003070E8">
        <w:rPr>
          <w:rFonts w:ascii="Times New Roman" w:hAnsi="Times New Roman" w:cs="Times New Roman"/>
          <w:sz w:val="24"/>
          <w:szCs w:val="24"/>
          <w:lang w:val="en-US"/>
        </w:rPr>
        <w:t xml:space="preserve">.  </w:t>
      </w:r>
      <w:r w:rsidR="00E4387E">
        <w:rPr>
          <w:rFonts w:ascii="Times New Roman" w:hAnsi="Times New Roman" w:cs="Times New Roman"/>
          <w:sz w:val="24"/>
          <w:szCs w:val="24"/>
          <w:lang w:val="en-US"/>
        </w:rPr>
        <w:t xml:space="preserve">Any </w:t>
      </w:r>
      <w:r w:rsidR="000C51FD">
        <w:rPr>
          <w:rFonts w:ascii="Times New Roman" w:hAnsi="Times New Roman" w:cs="Times New Roman"/>
          <w:sz w:val="24"/>
          <w:szCs w:val="24"/>
          <w:lang w:val="en-US"/>
        </w:rPr>
        <w:t xml:space="preserve">such lockdowns may be only regional rather than national.  </w:t>
      </w:r>
      <w:r w:rsidR="00F31264">
        <w:rPr>
          <w:rFonts w:ascii="Times New Roman" w:hAnsi="Times New Roman" w:cs="Times New Roman"/>
          <w:sz w:val="24"/>
          <w:szCs w:val="24"/>
          <w:lang w:val="en-US"/>
        </w:rPr>
        <w:t xml:space="preserve">Furthermore, </w:t>
      </w:r>
      <w:r w:rsidR="00E4387E">
        <w:rPr>
          <w:rFonts w:ascii="Times New Roman" w:hAnsi="Times New Roman" w:cs="Times New Roman"/>
          <w:sz w:val="24"/>
          <w:szCs w:val="24"/>
          <w:lang w:val="en-US"/>
        </w:rPr>
        <w:t xml:space="preserve">since viruses generally evolve over time, </w:t>
      </w:r>
      <w:r w:rsidR="00B27890">
        <w:rPr>
          <w:rFonts w:ascii="Times New Roman" w:hAnsi="Times New Roman" w:cs="Times New Roman"/>
          <w:sz w:val="24"/>
          <w:szCs w:val="24"/>
          <w:lang w:val="en-US"/>
        </w:rPr>
        <w:t xml:space="preserve">the death rate arising from </w:t>
      </w:r>
      <w:r w:rsidR="008E4417">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future </w:t>
      </w:r>
      <w:r w:rsidR="00E4387E">
        <w:rPr>
          <w:rFonts w:ascii="Times New Roman" w:hAnsi="Times New Roman" w:cs="Times New Roman"/>
          <w:sz w:val="24"/>
          <w:szCs w:val="24"/>
          <w:lang w:val="en-US"/>
        </w:rPr>
        <w:t>outbreak</w:t>
      </w:r>
      <w:r w:rsidR="008F034A">
        <w:rPr>
          <w:rFonts w:ascii="Times New Roman" w:hAnsi="Times New Roman" w:cs="Times New Roman"/>
          <w:sz w:val="24"/>
          <w:szCs w:val="24"/>
          <w:lang w:val="en-US"/>
        </w:rPr>
        <w:t>s</w:t>
      </w:r>
      <w:r w:rsidR="00E4387E">
        <w:rPr>
          <w:rFonts w:ascii="Times New Roman" w:hAnsi="Times New Roman" w:cs="Times New Roman"/>
          <w:sz w:val="24"/>
          <w:szCs w:val="24"/>
          <w:lang w:val="en-US"/>
        </w:rPr>
        <w:t xml:space="preserve"> </w:t>
      </w:r>
      <w:r w:rsidR="006A4B2A">
        <w:rPr>
          <w:rFonts w:ascii="Times New Roman" w:hAnsi="Times New Roman" w:cs="Times New Roman"/>
          <w:sz w:val="24"/>
          <w:szCs w:val="24"/>
          <w:lang w:val="en-US"/>
        </w:rPr>
        <w:t xml:space="preserve">without a lockdown </w:t>
      </w:r>
      <w:r w:rsidR="00F31264">
        <w:rPr>
          <w:rFonts w:ascii="Times New Roman" w:hAnsi="Times New Roman" w:cs="Times New Roman"/>
          <w:sz w:val="24"/>
          <w:szCs w:val="24"/>
          <w:lang w:val="en-US"/>
        </w:rPr>
        <w:t xml:space="preserve">may be more or less severe than </w:t>
      </w:r>
      <w:r w:rsidR="002E6351">
        <w:rPr>
          <w:rFonts w:ascii="Times New Roman" w:hAnsi="Times New Roman" w:cs="Times New Roman"/>
          <w:sz w:val="24"/>
          <w:szCs w:val="24"/>
          <w:lang w:val="en-US"/>
        </w:rPr>
        <w:t xml:space="preserve">indicated </w:t>
      </w:r>
      <w:r w:rsidR="008C2153">
        <w:rPr>
          <w:rFonts w:ascii="Times New Roman" w:hAnsi="Times New Roman" w:cs="Times New Roman"/>
          <w:sz w:val="24"/>
          <w:szCs w:val="24"/>
          <w:lang w:val="en-US"/>
        </w:rPr>
        <w:t>by currently available data</w:t>
      </w:r>
      <w:r w:rsidR="00F31264">
        <w:rPr>
          <w:rFonts w:ascii="Times New Roman" w:hAnsi="Times New Roman" w:cs="Times New Roman"/>
          <w:sz w:val="24"/>
          <w:szCs w:val="24"/>
          <w:lang w:val="en-US"/>
        </w:rPr>
        <w:t xml:space="preserve">.  </w:t>
      </w:r>
      <w:r w:rsidR="000C51FD">
        <w:rPr>
          <w:rFonts w:ascii="Times New Roman" w:hAnsi="Times New Roman" w:cs="Times New Roman"/>
          <w:sz w:val="24"/>
          <w:szCs w:val="24"/>
          <w:lang w:val="en-US"/>
        </w:rPr>
        <w:t>I therefore con</w:t>
      </w:r>
      <w:r w:rsidR="00E83F74">
        <w:rPr>
          <w:rFonts w:ascii="Times New Roman" w:hAnsi="Times New Roman" w:cs="Times New Roman"/>
          <w:sz w:val="24"/>
          <w:szCs w:val="24"/>
          <w:lang w:val="en-US"/>
        </w:rPr>
        <w:t xml:space="preserve">sider </w:t>
      </w:r>
      <w:r w:rsidR="006A4B2A">
        <w:rPr>
          <w:rFonts w:ascii="Times New Roman" w:hAnsi="Times New Roman" w:cs="Times New Roman"/>
          <w:sz w:val="24"/>
          <w:szCs w:val="24"/>
          <w:lang w:val="en-US"/>
        </w:rPr>
        <w:t>both issues</w:t>
      </w:r>
      <w:r w:rsidR="00551233">
        <w:rPr>
          <w:rFonts w:ascii="Times New Roman" w:hAnsi="Times New Roman" w:cs="Times New Roman"/>
          <w:sz w:val="24"/>
          <w:szCs w:val="24"/>
          <w:lang w:val="en-US"/>
        </w:rPr>
        <w:t>.</w:t>
      </w:r>
    </w:p>
    <w:p w:rsidR="000C51FD" w:rsidRDefault="000C51FD" w:rsidP="00F00CE2">
      <w:pPr>
        <w:spacing w:after="0" w:line="360" w:lineRule="auto"/>
        <w:jc w:val="both"/>
        <w:rPr>
          <w:rFonts w:ascii="Times New Roman" w:hAnsi="Times New Roman" w:cs="Times New Roman"/>
          <w:sz w:val="24"/>
          <w:szCs w:val="24"/>
          <w:lang w:val="en-US"/>
        </w:rPr>
      </w:pPr>
    </w:p>
    <w:p w:rsidR="00F62C60" w:rsidRDefault="00BF71EA" w:rsidP="00F62C6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w:t>
      </w:r>
      <w:r w:rsidRPr="00BF71EA">
        <w:rPr>
          <w:rFonts w:ascii="Times New Roman" w:hAnsi="Times New Roman" w:cs="Times New Roman"/>
          <w:i/>
          <w:sz w:val="24"/>
          <w:szCs w:val="24"/>
          <w:lang w:val="en-US"/>
        </w:rPr>
        <w:t>P</w:t>
      </w:r>
      <w:r>
        <w:rPr>
          <w:rFonts w:ascii="Times New Roman" w:hAnsi="Times New Roman" w:cs="Times New Roman"/>
          <w:sz w:val="24"/>
          <w:szCs w:val="24"/>
          <w:lang w:val="en-US"/>
        </w:rPr>
        <w:t xml:space="preserve"> denote the </w:t>
      </w:r>
      <w:r w:rsidR="00551233">
        <w:rPr>
          <w:rFonts w:ascii="Times New Roman" w:hAnsi="Times New Roman" w:cs="Times New Roman"/>
          <w:sz w:val="24"/>
          <w:szCs w:val="24"/>
          <w:lang w:val="en-US"/>
        </w:rPr>
        <w:t>proportion of the national GDP</w:t>
      </w:r>
      <w:r>
        <w:rPr>
          <w:rFonts w:ascii="Times New Roman" w:hAnsi="Times New Roman" w:cs="Times New Roman"/>
          <w:sz w:val="24"/>
          <w:szCs w:val="24"/>
          <w:lang w:val="en-US"/>
        </w:rPr>
        <w:t xml:space="preserve"> generated by the region subject to lockdown</w:t>
      </w:r>
      <w:r w:rsidR="00551233">
        <w:rPr>
          <w:rFonts w:ascii="Times New Roman" w:hAnsi="Times New Roman" w:cs="Times New Roman"/>
          <w:sz w:val="24"/>
          <w:szCs w:val="24"/>
          <w:lang w:val="en-US"/>
        </w:rPr>
        <w:t xml:space="preserve">, so </w:t>
      </w:r>
      <w:r w:rsidR="00551233">
        <w:rPr>
          <w:rFonts w:ascii="Times New Roman" w:hAnsi="Times New Roman" w:cs="Times New Roman"/>
          <w:i/>
          <w:sz w:val="24"/>
          <w:szCs w:val="24"/>
          <w:lang w:val="en-US"/>
        </w:rPr>
        <w:t>P</w:t>
      </w:r>
      <w:r w:rsidR="00551233">
        <w:rPr>
          <w:rFonts w:ascii="Times New Roman" w:hAnsi="Times New Roman" w:cs="Times New Roman"/>
          <w:sz w:val="24"/>
          <w:szCs w:val="24"/>
          <w:lang w:val="en-US"/>
        </w:rPr>
        <w:t xml:space="preserve"> = 1 means lockdown of the entire country.  </w:t>
      </w:r>
      <w:r w:rsidR="00314904">
        <w:rPr>
          <w:rFonts w:ascii="Times New Roman" w:hAnsi="Times New Roman" w:cs="Times New Roman"/>
          <w:sz w:val="24"/>
          <w:szCs w:val="24"/>
          <w:lang w:val="en-US"/>
        </w:rPr>
        <w:t>Following equation (5</w:t>
      </w:r>
      <w:r w:rsidR="008A6B70">
        <w:rPr>
          <w:rFonts w:ascii="Times New Roman" w:hAnsi="Times New Roman" w:cs="Times New Roman"/>
          <w:sz w:val="24"/>
          <w:szCs w:val="24"/>
          <w:lang w:val="en-US"/>
        </w:rPr>
        <w:t xml:space="preserve">), the </w:t>
      </w:r>
      <w:r w:rsidR="002B6B21">
        <w:rPr>
          <w:rFonts w:ascii="Times New Roman" w:hAnsi="Times New Roman" w:cs="Times New Roman"/>
          <w:sz w:val="24"/>
          <w:szCs w:val="24"/>
          <w:lang w:val="en-US"/>
        </w:rPr>
        <w:t>$27</w:t>
      </w:r>
      <w:r w:rsidR="00314904">
        <w:rPr>
          <w:rFonts w:ascii="Times New Roman" w:hAnsi="Times New Roman" w:cs="Times New Roman"/>
          <w:sz w:val="24"/>
          <w:szCs w:val="24"/>
          <w:lang w:val="en-US"/>
        </w:rPr>
        <w:t xml:space="preserve">b would be proportional to </w:t>
      </w:r>
      <w:r w:rsidR="00314904" w:rsidRPr="00635E2F">
        <w:rPr>
          <w:rFonts w:ascii="Times New Roman" w:hAnsi="Times New Roman" w:cs="Times New Roman"/>
          <w:i/>
          <w:sz w:val="24"/>
          <w:szCs w:val="24"/>
          <w:lang w:val="en-US"/>
        </w:rPr>
        <w:t>P</w:t>
      </w:r>
      <w:r w:rsidR="00635E2F">
        <w:rPr>
          <w:rFonts w:ascii="Times New Roman" w:hAnsi="Times New Roman" w:cs="Times New Roman"/>
          <w:sz w:val="24"/>
          <w:szCs w:val="24"/>
          <w:lang w:val="en-US"/>
        </w:rPr>
        <w:t xml:space="preserve">.  </w:t>
      </w:r>
      <w:r w:rsidR="00B116D8">
        <w:rPr>
          <w:rFonts w:ascii="Times New Roman" w:hAnsi="Times New Roman" w:cs="Times New Roman"/>
          <w:sz w:val="24"/>
          <w:szCs w:val="24"/>
          <w:lang w:val="en-US"/>
        </w:rPr>
        <w:t xml:space="preserve">So, the </w:t>
      </w:r>
      <w:r w:rsidR="00F62C60">
        <w:rPr>
          <w:rFonts w:ascii="Times New Roman" w:hAnsi="Times New Roman" w:cs="Times New Roman"/>
          <w:sz w:val="24"/>
          <w:szCs w:val="24"/>
          <w:lang w:val="en-US"/>
        </w:rPr>
        <w:t xml:space="preserve">expected cost per QALY saved from </w:t>
      </w:r>
      <w:r w:rsidR="00C704B1">
        <w:rPr>
          <w:rFonts w:ascii="Times New Roman" w:hAnsi="Times New Roman" w:cs="Times New Roman"/>
          <w:sz w:val="24"/>
          <w:szCs w:val="24"/>
          <w:lang w:val="en-US"/>
        </w:rPr>
        <w:t xml:space="preserve">a </w:t>
      </w:r>
      <w:r w:rsidR="00F62C60">
        <w:rPr>
          <w:rFonts w:ascii="Times New Roman" w:hAnsi="Times New Roman" w:cs="Times New Roman"/>
          <w:sz w:val="24"/>
          <w:szCs w:val="24"/>
          <w:lang w:val="en-US"/>
        </w:rPr>
        <w:t xml:space="preserve">lockdown rather than </w:t>
      </w:r>
      <w:r w:rsidR="00C704B1">
        <w:rPr>
          <w:rFonts w:ascii="Times New Roman" w:hAnsi="Times New Roman" w:cs="Times New Roman"/>
          <w:sz w:val="24"/>
          <w:szCs w:val="24"/>
          <w:lang w:val="en-US"/>
        </w:rPr>
        <w:t xml:space="preserve">a </w:t>
      </w:r>
      <w:r w:rsidR="00F62C60">
        <w:rPr>
          <w:rFonts w:ascii="Times New Roman" w:hAnsi="Times New Roman" w:cs="Times New Roman"/>
          <w:sz w:val="24"/>
          <w:szCs w:val="24"/>
          <w:lang w:val="en-US"/>
        </w:rPr>
        <w:t xml:space="preserve">mitigation </w:t>
      </w:r>
      <w:r w:rsidR="00C704B1">
        <w:rPr>
          <w:rFonts w:ascii="Times New Roman" w:hAnsi="Times New Roman" w:cs="Times New Roman"/>
          <w:sz w:val="24"/>
          <w:szCs w:val="24"/>
          <w:lang w:val="en-US"/>
        </w:rPr>
        <w:t xml:space="preserve">policy </w:t>
      </w:r>
      <w:r w:rsidR="00F274A8">
        <w:rPr>
          <w:rFonts w:ascii="Times New Roman" w:hAnsi="Times New Roman" w:cs="Times New Roman"/>
          <w:sz w:val="24"/>
          <w:szCs w:val="24"/>
          <w:lang w:val="en-US"/>
        </w:rPr>
        <w:t xml:space="preserve">would then be </w:t>
      </w:r>
      <w:r w:rsidR="00F62C60">
        <w:rPr>
          <w:rFonts w:ascii="Times New Roman" w:hAnsi="Times New Roman" w:cs="Times New Roman"/>
          <w:sz w:val="24"/>
          <w:szCs w:val="24"/>
          <w:lang w:val="en-US"/>
        </w:rPr>
        <w:t>as follows:</w:t>
      </w:r>
    </w:p>
    <w:p w:rsidR="00F62C60" w:rsidRDefault="00F62C60" w:rsidP="00F62C60">
      <w:pPr>
        <w:spacing w:after="0" w:line="360" w:lineRule="auto"/>
        <w:jc w:val="both"/>
        <w:rPr>
          <w:rFonts w:ascii="Times New Roman" w:hAnsi="Times New Roman" w:cs="Times New Roman"/>
          <w:sz w:val="24"/>
          <w:szCs w:val="24"/>
          <w:lang w:val="en-US"/>
        </w:rPr>
      </w:pPr>
    </w:p>
    <w:p w:rsidR="00F62C60" w:rsidRDefault="00035EC2" w:rsidP="00F62C60">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m:t>
          </m:r>
          <m:f>
            <m:fPr>
              <m:ctrlPr>
                <w:rPr>
                  <w:rFonts w:ascii="Cambria Math" w:hAnsi="Cambria Math" w:cs="Times New Roman"/>
                  <w:i/>
                  <w:sz w:val="24"/>
                  <w:szCs w:val="24"/>
                  <w:lang w:val="en-US"/>
                </w:rPr>
              </m:ctrlPr>
            </m:fPr>
            <m:num>
              <m:r>
                <w:rPr>
                  <w:rFonts w:ascii="Cambria Math" w:hAnsi="Cambria Math" w:cs="Times New Roman"/>
                  <w:sz w:val="24"/>
                  <w:szCs w:val="24"/>
                  <w:lang w:val="en-US"/>
                </w:rPr>
                <m:t>$27b</m:t>
              </m:r>
              <m:d>
                <m:dPr>
                  <m:ctrlPr>
                    <w:rPr>
                      <w:rFonts w:ascii="Cambria Math" w:hAnsi="Cambria Math" w:cs="Times New Roman"/>
                      <w:i/>
                      <w:sz w:val="24"/>
                      <w:szCs w:val="24"/>
                      <w:lang w:val="en-US"/>
                    </w:rPr>
                  </m:ctrlPr>
                </m:dPr>
                <m:e>
                  <m:r>
                    <w:rPr>
                      <w:rFonts w:ascii="Cambria Math" w:hAnsi="Cambria Math" w:cs="Times New Roman"/>
                      <w:sz w:val="24"/>
                      <w:szCs w:val="24"/>
                      <w:lang w:val="en-US"/>
                    </w:rPr>
                    <m:t>P</m:t>
                  </m:r>
                </m:e>
              </m:d>
              <m:r>
                <w:rPr>
                  <w:rFonts w:ascii="Cambria Math" w:hAnsi="Cambria Math" w:cs="Times New Roman"/>
                  <w:sz w:val="24"/>
                  <w:szCs w:val="24"/>
                  <w:lang w:val="en-US"/>
                </w:rPr>
                <m:t>-$1.1b-N$0.6b</m:t>
              </m:r>
            </m:num>
            <m:den>
              <m:r>
                <w:rPr>
                  <w:rFonts w:ascii="Cambria Math" w:hAnsi="Cambria Math" w:cs="Times New Roman"/>
                  <w:sz w:val="24"/>
                  <w:szCs w:val="24"/>
                  <w:lang w:val="en-US"/>
                </w:rPr>
                <m:t>6,240(2)N</m:t>
              </m:r>
            </m:den>
          </m:f>
          <m:r>
            <w:rPr>
              <w:rFonts w:ascii="Cambria Math" w:hAnsi="Cambria Math" w:cs="Times New Roman"/>
              <w:sz w:val="24"/>
              <w:szCs w:val="24"/>
              <w:lang w:val="en-US"/>
            </w:rPr>
            <m:t xml:space="preserve">                                              (7)</m:t>
          </m:r>
        </m:oMath>
      </m:oMathPara>
    </w:p>
    <w:p w:rsidR="00F62C60" w:rsidRDefault="00F62C60" w:rsidP="00F62C60">
      <w:pPr>
        <w:spacing w:after="0" w:line="360" w:lineRule="auto"/>
        <w:jc w:val="center"/>
        <w:rPr>
          <w:rFonts w:ascii="Times New Roman" w:hAnsi="Times New Roman" w:cs="Times New Roman"/>
          <w:sz w:val="24"/>
          <w:szCs w:val="24"/>
          <w:lang w:val="en-US"/>
        </w:rPr>
      </w:pPr>
    </w:p>
    <w:p w:rsidR="006E34EC" w:rsidRDefault="006E34EC" w:rsidP="006E34E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presumes that the incremental deaths resulting from failure to lockdown at some future point would be 6,240*2*</w:t>
      </w:r>
      <w:r w:rsidRPr="006E34EC">
        <w:rPr>
          <w:rFonts w:ascii="Times New Roman" w:hAnsi="Times New Roman" w:cs="Times New Roman"/>
          <w:i/>
          <w:sz w:val="24"/>
          <w:szCs w:val="24"/>
          <w:lang w:val="en-US"/>
        </w:rPr>
        <w:t>N</w:t>
      </w:r>
      <w:r>
        <w:rPr>
          <w:rFonts w:ascii="Times New Roman" w:hAnsi="Times New Roman" w:cs="Times New Roman"/>
          <w:sz w:val="24"/>
          <w:szCs w:val="24"/>
          <w:lang w:val="en-US"/>
        </w:rPr>
        <w:t xml:space="preserve">.  However, as discussed in the previous section, since mass vaccination will bring deaths to an end at some future date </w:t>
      </w:r>
      <w:r w:rsidRPr="00DA530F">
        <w:rPr>
          <w:rFonts w:ascii="Times New Roman" w:hAnsi="Times New Roman" w:cs="Times New Roman"/>
          <w:i/>
          <w:sz w:val="24"/>
          <w:szCs w:val="24"/>
          <w:lang w:val="en-US"/>
        </w:rPr>
        <w:t>T</w:t>
      </w:r>
      <w:r>
        <w:rPr>
          <w:rFonts w:ascii="Times New Roman" w:hAnsi="Times New Roman" w:cs="Times New Roman"/>
          <w:sz w:val="24"/>
          <w:szCs w:val="24"/>
          <w:lang w:val="en-US"/>
        </w:rPr>
        <w:t xml:space="preserve">, failure to lockdown at some future point </w:t>
      </w:r>
      <w:r w:rsidRPr="006E34EC">
        <w:rPr>
          <w:rFonts w:ascii="Times New Roman" w:hAnsi="Times New Roman" w:cs="Times New Roman"/>
          <w:i/>
          <w:sz w:val="24"/>
          <w:szCs w:val="24"/>
          <w:lang w:val="en-US"/>
        </w:rPr>
        <w:t>T</w:t>
      </w:r>
      <w:r w:rsidRPr="006E34EC">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prior to </w:t>
      </w:r>
      <w:r w:rsidRPr="006E34EC">
        <w:rPr>
          <w:rFonts w:ascii="Times New Roman" w:hAnsi="Times New Roman" w:cs="Times New Roman"/>
          <w:i/>
          <w:sz w:val="24"/>
          <w:szCs w:val="24"/>
          <w:lang w:val="en-US"/>
        </w:rPr>
        <w:t>T</w:t>
      </w:r>
      <w:r>
        <w:rPr>
          <w:rFonts w:ascii="Times New Roman" w:hAnsi="Times New Roman" w:cs="Times New Roman"/>
          <w:sz w:val="24"/>
          <w:szCs w:val="24"/>
          <w:lang w:val="en-US"/>
        </w:rPr>
        <w:t xml:space="preserve"> would then expose New Zealand only to deaths from </w:t>
      </w:r>
      <w:r w:rsidRPr="006E34EC">
        <w:rPr>
          <w:rFonts w:ascii="Times New Roman" w:hAnsi="Times New Roman" w:cs="Times New Roman"/>
          <w:i/>
          <w:sz w:val="24"/>
          <w:szCs w:val="24"/>
          <w:lang w:val="en-US"/>
        </w:rPr>
        <w:t>T</w:t>
      </w:r>
      <w:r w:rsidRPr="006E34EC">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till </w:t>
      </w:r>
      <w:r w:rsidRPr="00DA530F">
        <w:rPr>
          <w:rFonts w:ascii="Times New Roman" w:hAnsi="Times New Roman" w:cs="Times New Roman"/>
          <w:i/>
          <w:sz w:val="24"/>
          <w:szCs w:val="24"/>
          <w:lang w:val="en-US"/>
        </w:rPr>
        <w:t>T</w:t>
      </w:r>
      <w:r>
        <w:rPr>
          <w:rFonts w:ascii="Times New Roman" w:hAnsi="Times New Roman" w:cs="Times New Roman"/>
          <w:sz w:val="24"/>
          <w:szCs w:val="24"/>
          <w:lang w:val="en-US"/>
        </w:rPr>
        <w:t xml:space="preserve"> whereas the figure of 6,240*2*</w:t>
      </w:r>
      <w:r w:rsidRPr="00DA530F">
        <w:rPr>
          <w:rFonts w:ascii="Times New Roman" w:hAnsi="Times New Roman" w:cs="Times New Roman"/>
          <w:i/>
          <w:sz w:val="24"/>
          <w:szCs w:val="24"/>
          <w:lang w:val="en-US"/>
        </w:rPr>
        <w:t>N</w:t>
      </w:r>
      <w:r>
        <w:rPr>
          <w:rFonts w:ascii="Times New Roman" w:hAnsi="Times New Roman" w:cs="Times New Roman"/>
          <w:sz w:val="24"/>
          <w:szCs w:val="24"/>
          <w:lang w:val="en-US"/>
        </w:rPr>
        <w:t xml:space="preserve"> is the deaths from failure to lockdown in March 2020 till </w:t>
      </w:r>
      <w:r w:rsidRPr="00DA530F">
        <w:rPr>
          <w:rFonts w:ascii="Times New Roman" w:hAnsi="Times New Roman" w:cs="Times New Roman"/>
          <w:i/>
          <w:sz w:val="24"/>
          <w:szCs w:val="24"/>
          <w:lang w:val="en-US"/>
        </w:rPr>
        <w:t>T</w:t>
      </w:r>
      <w:r>
        <w:rPr>
          <w:rFonts w:ascii="Times New Roman" w:hAnsi="Times New Roman" w:cs="Times New Roman"/>
          <w:sz w:val="24"/>
          <w:szCs w:val="24"/>
          <w:lang w:val="en-US"/>
        </w:rPr>
        <w:t xml:space="preserve">, and the former death figure would then be less than the latter.  So, failure to lockdown at some future point </w:t>
      </w:r>
      <w:r w:rsidRPr="006E34EC">
        <w:rPr>
          <w:rFonts w:ascii="Times New Roman" w:hAnsi="Times New Roman" w:cs="Times New Roman"/>
          <w:i/>
          <w:sz w:val="24"/>
          <w:szCs w:val="24"/>
          <w:lang w:val="en-US"/>
        </w:rPr>
        <w:t>T</w:t>
      </w:r>
      <w:r w:rsidRPr="006E34EC">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will yield incremental deaths of 6,240*2*</w:t>
      </w:r>
      <w:r w:rsidRPr="006E34EC">
        <w:rPr>
          <w:rFonts w:ascii="Times New Roman" w:hAnsi="Times New Roman" w:cs="Times New Roman"/>
          <w:i/>
          <w:sz w:val="24"/>
          <w:szCs w:val="24"/>
          <w:lang w:val="en-US"/>
        </w:rPr>
        <w:t>N</w:t>
      </w:r>
      <w:r>
        <w:rPr>
          <w:rFonts w:ascii="Times New Roman" w:hAnsi="Times New Roman" w:cs="Times New Roman"/>
          <w:sz w:val="24"/>
          <w:szCs w:val="24"/>
          <w:lang w:val="en-US"/>
        </w:rPr>
        <w:t>*</w:t>
      </w:r>
      <w:r w:rsidRPr="006E34EC">
        <w:rPr>
          <w:rFonts w:ascii="Times New Roman" w:hAnsi="Times New Roman" w:cs="Times New Roman"/>
          <w:i/>
          <w:sz w:val="24"/>
          <w:szCs w:val="24"/>
          <w:lang w:val="en-US"/>
        </w:rPr>
        <w:t>Q</w:t>
      </w:r>
      <w:r>
        <w:rPr>
          <w:rFonts w:ascii="Times New Roman" w:hAnsi="Times New Roman" w:cs="Times New Roman"/>
          <w:sz w:val="24"/>
          <w:szCs w:val="24"/>
          <w:lang w:val="en-US"/>
        </w:rPr>
        <w:t xml:space="preserve">, where </w:t>
      </w:r>
      <w:r w:rsidRPr="006E34EC">
        <w:rPr>
          <w:rFonts w:ascii="Times New Roman" w:hAnsi="Times New Roman" w:cs="Times New Roman"/>
          <w:i/>
          <w:sz w:val="24"/>
          <w:szCs w:val="24"/>
          <w:lang w:val="en-US"/>
        </w:rPr>
        <w:t>Q</w:t>
      </w:r>
      <w:r>
        <w:rPr>
          <w:rFonts w:ascii="Times New Roman" w:hAnsi="Times New Roman" w:cs="Times New Roman"/>
          <w:sz w:val="24"/>
          <w:szCs w:val="24"/>
          <w:lang w:val="en-US"/>
        </w:rPr>
        <w:t xml:space="preserve"> &lt; 1 reflects the reduction in deaths resulting from the fact that the exposure period </w:t>
      </w:r>
      <w:r w:rsidRPr="006E34EC">
        <w:rPr>
          <w:rFonts w:ascii="Times New Roman" w:hAnsi="Times New Roman" w:cs="Times New Roman"/>
          <w:i/>
          <w:sz w:val="24"/>
          <w:szCs w:val="24"/>
          <w:lang w:val="en-US"/>
        </w:rPr>
        <w:t>T</w:t>
      </w:r>
      <w:r w:rsidRPr="006E34EC">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till </w:t>
      </w:r>
      <w:r w:rsidRPr="006E34EC">
        <w:rPr>
          <w:rFonts w:ascii="Times New Roman" w:hAnsi="Times New Roman" w:cs="Times New Roman"/>
          <w:i/>
          <w:sz w:val="24"/>
          <w:szCs w:val="24"/>
          <w:lang w:val="en-US"/>
        </w:rPr>
        <w:t>T</w:t>
      </w:r>
      <w:r>
        <w:rPr>
          <w:rFonts w:ascii="Times New Roman" w:hAnsi="Times New Roman" w:cs="Times New Roman"/>
          <w:sz w:val="24"/>
          <w:szCs w:val="24"/>
          <w:lang w:val="en-US"/>
        </w:rPr>
        <w:t xml:space="preserve"> is shorter than that from March 2020 till </w:t>
      </w:r>
      <w:r w:rsidRPr="006E34EC">
        <w:rPr>
          <w:rFonts w:ascii="Times New Roman" w:hAnsi="Times New Roman" w:cs="Times New Roman"/>
          <w:i/>
          <w:sz w:val="24"/>
          <w:szCs w:val="24"/>
          <w:lang w:val="en-US"/>
        </w:rPr>
        <w:t>T</w:t>
      </w:r>
      <w:r>
        <w:rPr>
          <w:rFonts w:ascii="Times New Roman" w:hAnsi="Times New Roman" w:cs="Times New Roman"/>
          <w:sz w:val="24"/>
          <w:szCs w:val="24"/>
          <w:lang w:val="en-US"/>
        </w:rPr>
        <w:t>.  The expected cost per QALY saved from a lockdown rather than a mitigation policy would then be as follows:</w:t>
      </w:r>
    </w:p>
    <w:p w:rsidR="006E34EC" w:rsidRDefault="006E34EC" w:rsidP="006E34EC">
      <w:pPr>
        <w:spacing w:after="0" w:line="360" w:lineRule="auto"/>
        <w:jc w:val="both"/>
        <w:rPr>
          <w:rFonts w:ascii="Times New Roman" w:hAnsi="Times New Roman" w:cs="Times New Roman"/>
          <w:sz w:val="24"/>
          <w:szCs w:val="24"/>
          <w:lang w:val="en-US"/>
        </w:rPr>
      </w:pPr>
    </w:p>
    <w:p w:rsidR="006E34EC" w:rsidRDefault="00521136" w:rsidP="006E34EC">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C=</m:t>
          </m:r>
          <m:f>
            <m:fPr>
              <m:ctrlPr>
                <w:rPr>
                  <w:rFonts w:ascii="Cambria Math" w:hAnsi="Cambria Math" w:cs="Times New Roman"/>
                  <w:i/>
                  <w:sz w:val="24"/>
                  <w:szCs w:val="24"/>
                  <w:lang w:val="en-US"/>
                </w:rPr>
              </m:ctrlPr>
            </m:fPr>
            <m:num>
              <m:r>
                <w:rPr>
                  <w:rFonts w:ascii="Cambria Math" w:hAnsi="Cambria Math" w:cs="Times New Roman"/>
                  <w:sz w:val="24"/>
                  <w:szCs w:val="24"/>
                  <w:lang w:val="en-US"/>
                </w:rPr>
                <m:t>$27b</m:t>
              </m:r>
              <m:d>
                <m:dPr>
                  <m:ctrlPr>
                    <w:rPr>
                      <w:rFonts w:ascii="Cambria Math" w:hAnsi="Cambria Math" w:cs="Times New Roman"/>
                      <w:i/>
                      <w:sz w:val="24"/>
                      <w:szCs w:val="24"/>
                      <w:lang w:val="en-US"/>
                    </w:rPr>
                  </m:ctrlPr>
                </m:dPr>
                <m:e>
                  <m:r>
                    <w:rPr>
                      <w:rFonts w:ascii="Cambria Math" w:hAnsi="Cambria Math" w:cs="Times New Roman"/>
                      <w:sz w:val="24"/>
                      <w:szCs w:val="24"/>
                      <w:lang w:val="en-US"/>
                    </w:rPr>
                    <m:t>P</m:t>
                  </m:r>
                </m:e>
              </m:d>
              <m:r>
                <w:rPr>
                  <w:rFonts w:ascii="Cambria Math" w:hAnsi="Cambria Math" w:cs="Times New Roman"/>
                  <w:sz w:val="24"/>
                  <w:szCs w:val="24"/>
                  <w:lang w:val="en-US"/>
                </w:rPr>
                <m:t>-$1.1b-NQ$0.6b</m:t>
              </m:r>
            </m:num>
            <m:den>
              <m:r>
                <w:rPr>
                  <w:rFonts w:ascii="Cambria Math" w:hAnsi="Cambria Math" w:cs="Times New Roman"/>
                  <w:sz w:val="24"/>
                  <w:szCs w:val="24"/>
                  <w:lang w:val="en-US"/>
                </w:rPr>
                <m:t>6,240(2)NQ</m:t>
              </m:r>
            </m:den>
          </m:f>
          <m:r>
            <w:rPr>
              <w:rFonts w:ascii="Cambria Math" w:hAnsi="Cambria Math" w:cs="Times New Roman"/>
              <w:sz w:val="24"/>
              <w:szCs w:val="24"/>
              <w:lang w:val="en-US"/>
            </w:rPr>
            <m:t xml:space="preserve">                                             </m:t>
          </m:r>
        </m:oMath>
      </m:oMathPara>
    </w:p>
    <w:p w:rsidR="006E34EC" w:rsidRDefault="006E34EC" w:rsidP="006E34EC">
      <w:pPr>
        <w:spacing w:after="0" w:line="360" w:lineRule="auto"/>
        <w:jc w:val="both"/>
        <w:rPr>
          <w:rFonts w:ascii="Times New Roman" w:hAnsi="Times New Roman" w:cs="Times New Roman"/>
          <w:sz w:val="24"/>
          <w:szCs w:val="24"/>
          <w:lang w:val="en-US"/>
        </w:rPr>
      </w:pPr>
    </w:p>
    <w:p w:rsidR="00035EC2" w:rsidRDefault="001F3518" w:rsidP="006E34E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For this to be </w:t>
      </w:r>
      <w:r w:rsidR="003B515D">
        <w:rPr>
          <w:rFonts w:ascii="Times New Roman" w:hAnsi="Times New Roman" w:cs="Times New Roman"/>
          <w:sz w:val="24"/>
          <w:szCs w:val="24"/>
          <w:lang w:val="en-US"/>
        </w:rPr>
        <w:t xml:space="preserve">less than the threshold figure of $62,000, which would support lockdown, </w:t>
      </w:r>
      <w:r>
        <w:rPr>
          <w:rFonts w:ascii="Times New Roman" w:hAnsi="Times New Roman" w:cs="Times New Roman"/>
          <w:sz w:val="24"/>
          <w:szCs w:val="24"/>
          <w:lang w:val="en-US"/>
        </w:rPr>
        <w:t>then</w:t>
      </w:r>
    </w:p>
    <w:p w:rsidR="00035EC2" w:rsidRDefault="00035EC2" w:rsidP="00F62C60">
      <w:pPr>
        <w:spacing w:after="0" w:line="360" w:lineRule="auto"/>
        <w:jc w:val="both"/>
        <w:rPr>
          <w:rFonts w:ascii="Times New Roman" w:hAnsi="Times New Roman" w:cs="Times New Roman"/>
          <w:sz w:val="24"/>
          <w:szCs w:val="24"/>
          <w:lang w:val="en-US"/>
        </w:rPr>
      </w:pPr>
    </w:p>
    <w:p w:rsidR="00967A9F" w:rsidRPr="00967A9F" w:rsidRDefault="00967A9F" w:rsidP="00F62C60">
      <w:pPr>
        <w:spacing w:after="0" w:line="360" w:lineRule="auto"/>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                                                                   NQ≥</m:t>
          </m:r>
          <m:f>
            <m:fPr>
              <m:ctrlPr>
                <w:rPr>
                  <w:rFonts w:ascii="Cambria Math" w:hAnsi="Cambria Math" w:cs="Times New Roman"/>
                  <w:i/>
                  <w:sz w:val="24"/>
                  <w:szCs w:val="24"/>
                  <w:lang w:val="en-US"/>
                </w:rPr>
              </m:ctrlPr>
            </m:fPr>
            <m:num>
              <m:r>
                <w:rPr>
                  <w:rFonts w:ascii="Cambria Math" w:hAnsi="Cambria Math" w:cs="Times New Roman"/>
                  <w:sz w:val="24"/>
                  <w:szCs w:val="24"/>
                  <w:lang w:val="en-US"/>
                </w:rPr>
                <m:t>P$27b-$1.1b</m:t>
              </m:r>
            </m:num>
            <m:den>
              <m:r>
                <w:rPr>
                  <w:rFonts w:ascii="Cambria Math" w:hAnsi="Cambria Math" w:cs="Times New Roman"/>
                  <w:sz w:val="24"/>
                  <w:szCs w:val="24"/>
                  <w:lang w:val="en-US"/>
                </w:rPr>
                <m:t>$1.37b</m:t>
              </m:r>
            </m:den>
          </m:f>
          <m:r>
            <w:rPr>
              <w:rFonts w:ascii="Cambria Math" w:hAnsi="Cambria Math" w:cs="Times New Roman"/>
              <w:sz w:val="24"/>
              <w:szCs w:val="24"/>
              <w:lang w:val="en-US"/>
            </w:rPr>
            <m:t xml:space="preserve">                                                 (8) </m:t>
          </m:r>
        </m:oMath>
      </m:oMathPara>
    </w:p>
    <w:p w:rsidR="00035EC2" w:rsidRDefault="00967A9F" w:rsidP="00967A9F">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m:t>
          </m:r>
        </m:oMath>
      </m:oMathPara>
    </w:p>
    <w:p w:rsidR="00F62C60" w:rsidRDefault="00035EC2" w:rsidP="00F62C6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w:t>
      </w:r>
      <w:r w:rsidR="0048571F">
        <w:rPr>
          <w:rFonts w:ascii="Times New Roman" w:hAnsi="Times New Roman" w:cs="Times New Roman"/>
          <w:sz w:val="24"/>
          <w:szCs w:val="24"/>
          <w:lang w:val="en-US"/>
        </w:rPr>
        <w:t xml:space="preserve">if </w:t>
      </w:r>
      <w:r w:rsidR="0048571F" w:rsidRPr="0048571F">
        <w:rPr>
          <w:rFonts w:ascii="Times New Roman" w:hAnsi="Times New Roman" w:cs="Times New Roman"/>
          <w:i/>
          <w:sz w:val="24"/>
          <w:szCs w:val="24"/>
          <w:lang w:val="en-US"/>
        </w:rPr>
        <w:t>P</w:t>
      </w:r>
      <w:r w:rsidR="0048571F">
        <w:rPr>
          <w:rFonts w:ascii="Times New Roman" w:hAnsi="Times New Roman" w:cs="Times New Roman"/>
          <w:sz w:val="24"/>
          <w:szCs w:val="24"/>
          <w:lang w:val="en-US"/>
        </w:rPr>
        <w:t xml:space="preserve"> = 1, </w:t>
      </w:r>
      <w:r w:rsidR="0048571F" w:rsidRPr="0048571F">
        <w:rPr>
          <w:rFonts w:ascii="Times New Roman" w:hAnsi="Times New Roman" w:cs="Times New Roman"/>
          <w:i/>
          <w:sz w:val="24"/>
          <w:szCs w:val="24"/>
          <w:lang w:val="en-US"/>
        </w:rPr>
        <w:t>N</w:t>
      </w:r>
      <w:r w:rsidR="00521136">
        <w:rPr>
          <w:rFonts w:ascii="Times New Roman" w:hAnsi="Times New Roman" w:cs="Times New Roman"/>
          <w:i/>
          <w:sz w:val="24"/>
          <w:szCs w:val="24"/>
          <w:lang w:val="en-US"/>
        </w:rPr>
        <w:t>Q</w:t>
      </w:r>
      <w:r w:rsidR="00635E2F">
        <w:rPr>
          <w:rFonts w:ascii="Times New Roman" w:hAnsi="Times New Roman" w:cs="Times New Roman"/>
          <w:sz w:val="24"/>
          <w:szCs w:val="24"/>
          <w:lang w:val="en-US"/>
        </w:rPr>
        <w:t xml:space="preserve"> would have to be at least</w:t>
      </w:r>
      <w:r w:rsidR="004A3D98">
        <w:rPr>
          <w:rFonts w:ascii="Times New Roman" w:hAnsi="Times New Roman" w:cs="Times New Roman"/>
          <w:sz w:val="24"/>
          <w:szCs w:val="24"/>
          <w:lang w:val="en-US"/>
        </w:rPr>
        <w:t xml:space="preserve"> 19</w:t>
      </w:r>
      <w:r w:rsidR="00521136">
        <w:rPr>
          <w:rFonts w:ascii="Times New Roman" w:hAnsi="Times New Roman" w:cs="Times New Roman"/>
          <w:sz w:val="24"/>
          <w:szCs w:val="24"/>
          <w:lang w:val="en-US"/>
        </w:rPr>
        <w:t xml:space="preserve">, and therefore </w:t>
      </w:r>
      <w:r w:rsidR="00521136" w:rsidRPr="00521136">
        <w:rPr>
          <w:rFonts w:ascii="Times New Roman" w:hAnsi="Times New Roman" w:cs="Times New Roman"/>
          <w:i/>
          <w:sz w:val="24"/>
          <w:szCs w:val="24"/>
          <w:lang w:val="en-US"/>
        </w:rPr>
        <w:t>N</w:t>
      </w:r>
      <w:r w:rsidR="00521136">
        <w:rPr>
          <w:rFonts w:ascii="Times New Roman" w:hAnsi="Times New Roman" w:cs="Times New Roman"/>
          <w:sz w:val="24"/>
          <w:szCs w:val="24"/>
          <w:lang w:val="en-US"/>
        </w:rPr>
        <w:t xml:space="preserve"> even larger than this</w:t>
      </w:r>
      <w:r w:rsidR="0048571F">
        <w:rPr>
          <w:rFonts w:ascii="Times New Roman" w:hAnsi="Times New Roman" w:cs="Times New Roman"/>
          <w:sz w:val="24"/>
          <w:szCs w:val="24"/>
          <w:lang w:val="en-US"/>
        </w:rPr>
        <w:t xml:space="preserve">.  </w:t>
      </w:r>
      <w:r w:rsidR="00451FD5">
        <w:rPr>
          <w:rFonts w:ascii="Times New Roman" w:hAnsi="Times New Roman" w:cs="Times New Roman"/>
          <w:sz w:val="24"/>
          <w:szCs w:val="24"/>
          <w:lang w:val="en-US"/>
        </w:rPr>
        <w:t xml:space="preserve">As argued in the previous section, </w:t>
      </w:r>
      <w:r w:rsidR="00521136">
        <w:rPr>
          <w:rFonts w:ascii="Times New Roman" w:hAnsi="Times New Roman" w:cs="Times New Roman"/>
          <w:sz w:val="24"/>
          <w:szCs w:val="24"/>
          <w:lang w:val="en-US"/>
        </w:rPr>
        <w:t xml:space="preserve">even </w:t>
      </w:r>
      <w:r w:rsidRPr="00035EC2">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r w:rsidR="00521136">
        <w:rPr>
          <w:rFonts w:ascii="Times New Roman" w:hAnsi="Times New Roman" w:cs="Times New Roman"/>
          <w:sz w:val="24"/>
          <w:szCs w:val="24"/>
          <w:lang w:val="en-US"/>
        </w:rPr>
        <w:t xml:space="preserve">= 19 </w:t>
      </w:r>
      <w:r w:rsidR="00EB5395">
        <w:rPr>
          <w:rFonts w:ascii="Times New Roman" w:hAnsi="Times New Roman" w:cs="Times New Roman"/>
          <w:sz w:val="24"/>
          <w:szCs w:val="24"/>
          <w:lang w:val="en-US"/>
        </w:rPr>
        <w:t>is implausibly large</w:t>
      </w:r>
      <w:r>
        <w:rPr>
          <w:rFonts w:ascii="Times New Roman" w:hAnsi="Times New Roman" w:cs="Times New Roman"/>
          <w:sz w:val="24"/>
          <w:szCs w:val="24"/>
          <w:lang w:val="en-US"/>
        </w:rPr>
        <w:t xml:space="preserve">.  However, if </w:t>
      </w:r>
      <w:r w:rsidRPr="00035EC2">
        <w:rPr>
          <w:rFonts w:ascii="Times New Roman" w:hAnsi="Times New Roman" w:cs="Times New Roman"/>
          <w:i/>
          <w:sz w:val="24"/>
          <w:szCs w:val="24"/>
          <w:lang w:val="en-US"/>
        </w:rPr>
        <w:t>P</w:t>
      </w:r>
      <w:r>
        <w:rPr>
          <w:rFonts w:ascii="Times New Roman" w:hAnsi="Times New Roman" w:cs="Times New Roman"/>
          <w:sz w:val="24"/>
          <w:szCs w:val="24"/>
          <w:lang w:val="en-US"/>
        </w:rPr>
        <w:t xml:space="preserve"> = .10 as with the Auckland lockdown, </w:t>
      </w:r>
      <w:r w:rsidRPr="00035EC2">
        <w:rPr>
          <w:rFonts w:ascii="Times New Roman" w:hAnsi="Times New Roman" w:cs="Times New Roman"/>
          <w:i/>
          <w:sz w:val="24"/>
          <w:szCs w:val="24"/>
          <w:lang w:val="en-US"/>
        </w:rPr>
        <w:t>N</w:t>
      </w:r>
      <w:r w:rsidR="001F7D42">
        <w:rPr>
          <w:rFonts w:ascii="Times New Roman" w:hAnsi="Times New Roman" w:cs="Times New Roman"/>
          <w:i/>
          <w:sz w:val="24"/>
          <w:szCs w:val="24"/>
          <w:lang w:val="en-US"/>
        </w:rPr>
        <w:t>Q</w:t>
      </w:r>
      <w:r w:rsidR="00E85B1A">
        <w:rPr>
          <w:rFonts w:ascii="Times New Roman" w:hAnsi="Times New Roman" w:cs="Times New Roman"/>
          <w:sz w:val="24"/>
          <w:szCs w:val="24"/>
          <w:lang w:val="en-US"/>
        </w:rPr>
        <w:t xml:space="preserve"> would </w:t>
      </w:r>
      <w:r w:rsidR="006E34EC">
        <w:rPr>
          <w:rFonts w:ascii="Times New Roman" w:hAnsi="Times New Roman" w:cs="Times New Roman"/>
          <w:sz w:val="24"/>
          <w:szCs w:val="24"/>
          <w:lang w:val="en-US"/>
        </w:rPr>
        <w:t xml:space="preserve">then only </w:t>
      </w:r>
      <w:r w:rsidR="00E85B1A">
        <w:rPr>
          <w:rFonts w:ascii="Times New Roman" w:hAnsi="Times New Roman" w:cs="Times New Roman"/>
          <w:sz w:val="24"/>
          <w:szCs w:val="24"/>
          <w:lang w:val="en-US"/>
        </w:rPr>
        <w:t>have to be at least 1.2</w:t>
      </w:r>
      <w:r w:rsidR="000F3DEF">
        <w:rPr>
          <w:rFonts w:ascii="Times New Roman" w:hAnsi="Times New Roman" w:cs="Times New Roman"/>
          <w:sz w:val="24"/>
          <w:szCs w:val="24"/>
          <w:lang w:val="en-US"/>
        </w:rPr>
        <w:t xml:space="preserve">, which is </w:t>
      </w:r>
      <w:r w:rsidR="001F7D42">
        <w:rPr>
          <w:rFonts w:ascii="Times New Roman" w:hAnsi="Times New Roman" w:cs="Times New Roman"/>
          <w:sz w:val="24"/>
          <w:szCs w:val="24"/>
          <w:lang w:val="en-US"/>
        </w:rPr>
        <w:t xml:space="preserve">more </w:t>
      </w:r>
      <w:r>
        <w:rPr>
          <w:rFonts w:ascii="Times New Roman" w:hAnsi="Times New Roman" w:cs="Times New Roman"/>
          <w:sz w:val="24"/>
          <w:szCs w:val="24"/>
          <w:lang w:val="en-US"/>
        </w:rPr>
        <w:t>plausible.</w:t>
      </w:r>
      <w:r w:rsidR="00576D20">
        <w:rPr>
          <w:rFonts w:ascii="Times New Roman" w:hAnsi="Times New Roman" w:cs="Times New Roman"/>
          <w:sz w:val="24"/>
          <w:szCs w:val="24"/>
          <w:lang w:val="en-US"/>
        </w:rPr>
        <w:t xml:space="preserve">  As </w:t>
      </w:r>
      <w:r w:rsidR="00576D20" w:rsidRPr="00576D20">
        <w:rPr>
          <w:rFonts w:ascii="Times New Roman" w:hAnsi="Times New Roman" w:cs="Times New Roman"/>
          <w:i/>
          <w:sz w:val="24"/>
          <w:szCs w:val="24"/>
          <w:lang w:val="en-US"/>
        </w:rPr>
        <w:t>P</w:t>
      </w:r>
      <w:r w:rsidR="00576D20">
        <w:rPr>
          <w:rFonts w:ascii="Times New Roman" w:hAnsi="Times New Roman" w:cs="Times New Roman"/>
          <w:sz w:val="24"/>
          <w:szCs w:val="24"/>
          <w:lang w:val="en-US"/>
        </w:rPr>
        <w:t xml:space="preserve"> goes to zero, with quarantining of a single person being the extreme case, the lower limit on </w:t>
      </w:r>
      <w:r w:rsidR="00576D20" w:rsidRPr="00576D20">
        <w:rPr>
          <w:rFonts w:ascii="Times New Roman" w:hAnsi="Times New Roman" w:cs="Times New Roman"/>
          <w:i/>
          <w:sz w:val="24"/>
          <w:szCs w:val="24"/>
          <w:lang w:val="en-US"/>
        </w:rPr>
        <w:t>N</w:t>
      </w:r>
      <w:r w:rsidR="001F7D42">
        <w:rPr>
          <w:rFonts w:ascii="Times New Roman" w:hAnsi="Times New Roman" w:cs="Times New Roman"/>
          <w:i/>
          <w:sz w:val="24"/>
          <w:szCs w:val="24"/>
          <w:lang w:val="en-US"/>
        </w:rPr>
        <w:t>Q</w:t>
      </w:r>
      <w:r w:rsidR="00E2666B">
        <w:rPr>
          <w:rFonts w:ascii="Times New Roman" w:hAnsi="Times New Roman" w:cs="Times New Roman"/>
          <w:sz w:val="24"/>
          <w:szCs w:val="24"/>
          <w:lang w:val="en-US"/>
        </w:rPr>
        <w:t xml:space="preserve"> falls below zero</w:t>
      </w:r>
      <w:r w:rsidR="00576D20">
        <w:rPr>
          <w:rFonts w:ascii="Times New Roman" w:hAnsi="Times New Roman" w:cs="Times New Roman"/>
          <w:sz w:val="24"/>
          <w:szCs w:val="24"/>
          <w:lang w:val="en-US"/>
        </w:rPr>
        <w:t>, in which case lockdown is definitely optimal.</w:t>
      </w:r>
    </w:p>
    <w:p w:rsidR="001F3518" w:rsidRDefault="001F3518" w:rsidP="00F62C60">
      <w:pPr>
        <w:spacing w:after="0" w:line="360" w:lineRule="auto"/>
        <w:jc w:val="both"/>
        <w:rPr>
          <w:rFonts w:ascii="Times New Roman" w:hAnsi="Times New Roman" w:cs="Times New Roman"/>
          <w:sz w:val="24"/>
          <w:szCs w:val="24"/>
          <w:lang w:val="en-US"/>
        </w:rPr>
      </w:pPr>
    </w:p>
    <w:p w:rsidR="000E1E76" w:rsidRDefault="006A4B2A" w:rsidP="00F62C6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analysis assumes that, if lockdown </w:t>
      </w:r>
      <w:r w:rsidR="00E02D3D">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pursued, </w:t>
      </w:r>
      <w:r w:rsidR="00D5777E">
        <w:rPr>
          <w:rFonts w:ascii="Times New Roman" w:hAnsi="Times New Roman" w:cs="Times New Roman"/>
          <w:sz w:val="24"/>
          <w:szCs w:val="24"/>
          <w:lang w:val="en-US"/>
        </w:rPr>
        <w:t xml:space="preserve">only </w:t>
      </w:r>
      <w:r>
        <w:rPr>
          <w:rFonts w:ascii="Times New Roman" w:hAnsi="Times New Roman" w:cs="Times New Roman"/>
          <w:sz w:val="24"/>
          <w:szCs w:val="24"/>
          <w:lang w:val="en-US"/>
        </w:rPr>
        <w:t xml:space="preserve">one </w:t>
      </w:r>
      <w:r w:rsidR="00E02D3D">
        <w:rPr>
          <w:rFonts w:ascii="Times New Roman" w:hAnsi="Times New Roman" w:cs="Times New Roman"/>
          <w:sz w:val="24"/>
          <w:szCs w:val="24"/>
          <w:lang w:val="en-US"/>
        </w:rPr>
        <w:t>future</w:t>
      </w:r>
      <w:r>
        <w:rPr>
          <w:rFonts w:ascii="Times New Roman" w:hAnsi="Times New Roman" w:cs="Times New Roman"/>
          <w:sz w:val="24"/>
          <w:szCs w:val="24"/>
          <w:lang w:val="en-US"/>
        </w:rPr>
        <w:t xml:space="preserve"> lockdown would be </w:t>
      </w:r>
      <w:r w:rsidR="00D5777E">
        <w:rPr>
          <w:rFonts w:ascii="Times New Roman" w:hAnsi="Times New Roman" w:cs="Times New Roman"/>
          <w:sz w:val="24"/>
          <w:szCs w:val="24"/>
          <w:lang w:val="en-US"/>
        </w:rPr>
        <w:t>necessary</w:t>
      </w:r>
      <w:r w:rsidR="00042D6A">
        <w:rPr>
          <w:rFonts w:ascii="Times New Roman" w:hAnsi="Times New Roman" w:cs="Times New Roman"/>
          <w:sz w:val="24"/>
          <w:szCs w:val="24"/>
          <w:lang w:val="en-US"/>
        </w:rPr>
        <w:t xml:space="preserve"> in New Zealand</w:t>
      </w:r>
      <w:r>
        <w:rPr>
          <w:rFonts w:ascii="Times New Roman" w:hAnsi="Times New Roman" w:cs="Times New Roman"/>
          <w:sz w:val="24"/>
          <w:szCs w:val="24"/>
          <w:lang w:val="en-US"/>
        </w:rPr>
        <w:t>.  This cannot be guaranteed</w:t>
      </w:r>
      <w:r w:rsidR="00042D6A">
        <w:rPr>
          <w:rFonts w:ascii="Times New Roman" w:hAnsi="Times New Roman" w:cs="Times New Roman"/>
          <w:sz w:val="24"/>
          <w:szCs w:val="24"/>
          <w:lang w:val="en-US"/>
        </w:rPr>
        <w:t>, and two lockdowns have already occured</w:t>
      </w:r>
      <w:r>
        <w:rPr>
          <w:rFonts w:ascii="Times New Roman" w:hAnsi="Times New Roman" w:cs="Times New Roman"/>
          <w:sz w:val="24"/>
          <w:szCs w:val="24"/>
          <w:lang w:val="en-US"/>
        </w:rPr>
        <w:t xml:space="preserve">.  So, </w:t>
      </w:r>
      <w:r w:rsidR="00247616">
        <w:rPr>
          <w:rFonts w:ascii="Times New Roman" w:hAnsi="Times New Roman" w:cs="Times New Roman"/>
          <w:sz w:val="24"/>
          <w:szCs w:val="24"/>
          <w:lang w:val="en-US"/>
        </w:rPr>
        <w:t>the GDP losses from a</w:t>
      </w:r>
      <w:r w:rsidR="000E1E76">
        <w:rPr>
          <w:rFonts w:ascii="Times New Roman" w:hAnsi="Times New Roman" w:cs="Times New Roman"/>
          <w:sz w:val="24"/>
          <w:szCs w:val="24"/>
          <w:lang w:val="en-US"/>
        </w:rPr>
        <w:t xml:space="preserve"> </w:t>
      </w:r>
      <w:r w:rsidR="00E02D3D">
        <w:rPr>
          <w:rFonts w:ascii="Times New Roman" w:hAnsi="Times New Roman" w:cs="Times New Roman"/>
          <w:sz w:val="24"/>
          <w:szCs w:val="24"/>
          <w:lang w:val="en-US"/>
        </w:rPr>
        <w:t>lockdown policy may exceed $27b</w:t>
      </w:r>
      <w:r w:rsidR="00247616">
        <w:rPr>
          <w:rFonts w:ascii="Times New Roman" w:hAnsi="Times New Roman" w:cs="Times New Roman"/>
          <w:sz w:val="24"/>
          <w:szCs w:val="24"/>
          <w:lang w:val="en-US"/>
        </w:rPr>
        <w:t xml:space="preserve"> and cannot be less.  In so far as they are more, </w:t>
      </w:r>
      <w:r w:rsidR="00E02D3D">
        <w:rPr>
          <w:rFonts w:ascii="Times New Roman" w:hAnsi="Times New Roman" w:cs="Times New Roman"/>
          <w:sz w:val="24"/>
          <w:szCs w:val="24"/>
          <w:lang w:val="en-US"/>
        </w:rPr>
        <w:t xml:space="preserve">for a given value of </w:t>
      </w:r>
      <w:r w:rsidR="00E02D3D" w:rsidRPr="00E02D3D">
        <w:rPr>
          <w:rFonts w:ascii="Times New Roman" w:hAnsi="Times New Roman" w:cs="Times New Roman"/>
          <w:i/>
          <w:sz w:val="24"/>
          <w:szCs w:val="24"/>
          <w:lang w:val="en-US"/>
        </w:rPr>
        <w:t>P</w:t>
      </w:r>
      <w:r w:rsidR="00E02D3D">
        <w:rPr>
          <w:rFonts w:ascii="Times New Roman" w:hAnsi="Times New Roman" w:cs="Times New Roman"/>
          <w:sz w:val="24"/>
          <w:szCs w:val="24"/>
          <w:lang w:val="en-US"/>
        </w:rPr>
        <w:t xml:space="preserve">, even </w:t>
      </w:r>
      <w:r w:rsidR="00247616">
        <w:rPr>
          <w:rFonts w:ascii="Times New Roman" w:hAnsi="Times New Roman" w:cs="Times New Roman"/>
          <w:sz w:val="24"/>
          <w:szCs w:val="24"/>
          <w:lang w:val="en-US"/>
        </w:rPr>
        <w:t xml:space="preserve">higher values of </w:t>
      </w:r>
      <w:r w:rsidR="00247616" w:rsidRPr="00647245">
        <w:rPr>
          <w:rFonts w:ascii="Times New Roman" w:hAnsi="Times New Roman" w:cs="Times New Roman"/>
          <w:i/>
          <w:sz w:val="24"/>
          <w:szCs w:val="24"/>
          <w:lang w:val="en-US"/>
        </w:rPr>
        <w:t>N</w:t>
      </w:r>
      <w:r w:rsidR="00247616">
        <w:rPr>
          <w:rFonts w:ascii="Times New Roman" w:hAnsi="Times New Roman" w:cs="Times New Roman"/>
          <w:sz w:val="24"/>
          <w:szCs w:val="24"/>
          <w:lang w:val="en-US"/>
        </w:rPr>
        <w:t xml:space="preserve"> would be required to justify a lockdown policy</w:t>
      </w:r>
      <w:r w:rsidR="00C55ECD">
        <w:rPr>
          <w:rFonts w:ascii="Times New Roman" w:hAnsi="Times New Roman" w:cs="Times New Roman"/>
          <w:sz w:val="24"/>
          <w:szCs w:val="24"/>
          <w:lang w:val="en-US"/>
        </w:rPr>
        <w:t>.</w:t>
      </w:r>
      <w:r w:rsidR="000E1E76">
        <w:rPr>
          <w:rFonts w:ascii="Times New Roman" w:hAnsi="Times New Roman" w:cs="Times New Roman"/>
          <w:sz w:val="24"/>
          <w:szCs w:val="24"/>
          <w:lang w:val="en-US"/>
        </w:rPr>
        <w:t xml:space="preserve">  For example, if there is a 5</w:t>
      </w:r>
      <w:r w:rsidR="00F05DD2">
        <w:rPr>
          <w:rFonts w:ascii="Times New Roman" w:hAnsi="Times New Roman" w:cs="Times New Roman"/>
          <w:sz w:val="24"/>
          <w:szCs w:val="24"/>
          <w:lang w:val="en-US"/>
        </w:rPr>
        <w:t xml:space="preserve">0% chance of </w:t>
      </w:r>
      <w:r w:rsidR="00D5777E">
        <w:rPr>
          <w:rFonts w:ascii="Times New Roman" w:hAnsi="Times New Roman" w:cs="Times New Roman"/>
          <w:sz w:val="24"/>
          <w:szCs w:val="24"/>
          <w:lang w:val="en-US"/>
        </w:rPr>
        <w:t xml:space="preserve">a second future </w:t>
      </w:r>
      <w:r w:rsidR="00F05DD2">
        <w:rPr>
          <w:rFonts w:ascii="Times New Roman" w:hAnsi="Times New Roman" w:cs="Times New Roman"/>
          <w:sz w:val="24"/>
          <w:szCs w:val="24"/>
          <w:lang w:val="en-US"/>
        </w:rPr>
        <w:t>lockdown</w:t>
      </w:r>
      <w:r w:rsidR="000E1E76">
        <w:rPr>
          <w:rFonts w:ascii="Times New Roman" w:hAnsi="Times New Roman" w:cs="Times New Roman"/>
          <w:sz w:val="24"/>
          <w:szCs w:val="24"/>
          <w:lang w:val="en-US"/>
        </w:rPr>
        <w:t xml:space="preserve"> involving the same value for </w:t>
      </w:r>
      <w:r w:rsidR="000E1E76" w:rsidRPr="000E1E76">
        <w:rPr>
          <w:rFonts w:ascii="Times New Roman" w:hAnsi="Times New Roman" w:cs="Times New Roman"/>
          <w:i/>
          <w:sz w:val="24"/>
          <w:szCs w:val="24"/>
          <w:lang w:val="en-US"/>
        </w:rPr>
        <w:t>P</w:t>
      </w:r>
      <w:r w:rsidR="00F05DD2">
        <w:rPr>
          <w:rFonts w:ascii="Times New Roman" w:hAnsi="Times New Roman" w:cs="Times New Roman"/>
          <w:sz w:val="24"/>
          <w:szCs w:val="24"/>
          <w:lang w:val="en-US"/>
        </w:rPr>
        <w:t xml:space="preserve">, </w:t>
      </w:r>
      <w:r w:rsidR="00D11F2E">
        <w:rPr>
          <w:rFonts w:ascii="Times New Roman" w:hAnsi="Times New Roman" w:cs="Times New Roman"/>
          <w:sz w:val="24"/>
          <w:szCs w:val="24"/>
          <w:lang w:val="en-US"/>
        </w:rPr>
        <w:t xml:space="preserve">and in that event there is a 50% chance of a third future lockdown and so on, </w:t>
      </w:r>
      <w:r w:rsidR="00F05DD2">
        <w:rPr>
          <w:rFonts w:ascii="Times New Roman" w:hAnsi="Times New Roman" w:cs="Times New Roman"/>
          <w:sz w:val="24"/>
          <w:szCs w:val="24"/>
          <w:lang w:val="en-US"/>
        </w:rPr>
        <w:t xml:space="preserve">the </w:t>
      </w:r>
      <w:r w:rsidR="000E1E76">
        <w:rPr>
          <w:rFonts w:ascii="Times New Roman" w:hAnsi="Times New Roman" w:cs="Times New Roman"/>
          <w:sz w:val="24"/>
          <w:szCs w:val="24"/>
          <w:lang w:val="en-US"/>
        </w:rPr>
        <w:t xml:space="preserve">last </w:t>
      </w:r>
      <w:r w:rsidR="00E02D3D">
        <w:rPr>
          <w:rFonts w:ascii="Times New Roman" w:hAnsi="Times New Roman" w:cs="Times New Roman"/>
          <w:sz w:val="24"/>
          <w:szCs w:val="24"/>
          <w:lang w:val="en-US"/>
        </w:rPr>
        <w:t xml:space="preserve">inequality </w:t>
      </w:r>
      <w:r w:rsidR="000E1E76">
        <w:rPr>
          <w:rFonts w:ascii="Times New Roman" w:hAnsi="Times New Roman" w:cs="Times New Roman"/>
          <w:sz w:val="24"/>
          <w:szCs w:val="24"/>
          <w:lang w:val="en-US"/>
        </w:rPr>
        <w:t>becomes</w:t>
      </w:r>
    </w:p>
    <w:p w:rsidR="00E02D3D" w:rsidRDefault="00E02D3D" w:rsidP="00E02D3D">
      <w:pPr>
        <w:spacing w:after="0" w:line="360" w:lineRule="auto"/>
        <w:jc w:val="both"/>
        <w:rPr>
          <w:rFonts w:ascii="Times New Roman" w:hAnsi="Times New Roman" w:cs="Times New Roman"/>
          <w:sz w:val="24"/>
          <w:szCs w:val="24"/>
          <w:lang w:val="en-US"/>
        </w:rPr>
      </w:pPr>
    </w:p>
    <w:p w:rsidR="00967A9F" w:rsidRPr="00967A9F" w:rsidRDefault="00967A9F" w:rsidP="00E02D3D">
      <w:pPr>
        <w:spacing w:after="0" w:line="360" w:lineRule="auto"/>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 xml:space="preserve">                                                    NQ≥</m:t>
          </m:r>
          <m:f>
            <m:fPr>
              <m:ctrlPr>
                <w:rPr>
                  <w:rFonts w:ascii="Cambria Math" w:hAnsi="Cambria Math" w:cs="Times New Roman"/>
                  <w:i/>
                  <w:sz w:val="24"/>
                  <w:szCs w:val="24"/>
                  <w:lang w:val="en-US"/>
                </w:rPr>
              </m:ctrlPr>
            </m:fPr>
            <m:num>
              <m:r>
                <w:rPr>
                  <w:rFonts w:ascii="Cambria Math" w:hAnsi="Cambria Math" w:cs="Times New Roman"/>
                  <w:sz w:val="24"/>
                  <w:szCs w:val="24"/>
                  <w:lang w:val="en-US"/>
                </w:rPr>
                <m:t>P$27b</m:t>
              </m:r>
              <m:d>
                <m:dPr>
                  <m:ctrlPr>
                    <w:rPr>
                      <w:rFonts w:ascii="Cambria Math" w:hAnsi="Cambria Math" w:cs="Times New Roman"/>
                      <w:i/>
                      <w:sz w:val="24"/>
                      <w:szCs w:val="24"/>
                      <w:lang w:val="en-US"/>
                    </w:rPr>
                  </m:ctrlPr>
                </m:dPr>
                <m:e>
                  <m:r>
                    <w:rPr>
                      <w:rFonts w:ascii="Cambria Math" w:hAnsi="Cambria Math" w:cs="Times New Roman"/>
                      <w:sz w:val="24"/>
                      <w:szCs w:val="24"/>
                      <w:lang w:val="en-US"/>
                    </w:rPr>
                    <m:t>2</m:t>
                  </m:r>
                </m:e>
              </m:d>
              <m:r>
                <w:rPr>
                  <w:rFonts w:ascii="Cambria Math" w:hAnsi="Cambria Math" w:cs="Times New Roman"/>
                  <w:sz w:val="24"/>
                  <w:szCs w:val="24"/>
                  <w:lang w:val="en-US"/>
                </w:rPr>
                <m:t>-$1.1b</m:t>
              </m:r>
            </m:num>
            <m:den>
              <m:r>
                <w:rPr>
                  <w:rFonts w:ascii="Cambria Math" w:hAnsi="Cambria Math" w:cs="Times New Roman"/>
                  <w:sz w:val="24"/>
                  <w:szCs w:val="24"/>
                  <w:lang w:val="en-US"/>
                </w:rPr>
                <m:t>$1.37b</m:t>
              </m:r>
            </m:den>
          </m:f>
          <m:r>
            <w:rPr>
              <w:rFonts w:ascii="Cambria Math" w:hAnsi="Cambria Math" w:cs="Times New Roman"/>
              <w:sz w:val="24"/>
              <w:szCs w:val="24"/>
              <w:lang w:val="en-US"/>
            </w:rPr>
            <m:t xml:space="preserve">                                                  (9)</m:t>
          </m:r>
        </m:oMath>
      </m:oMathPara>
    </w:p>
    <w:p w:rsidR="00E02D3D" w:rsidRDefault="00E02D3D" w:rsidP="00967A9F">
      <w:pPr>
        <w:spacing w:after="0" w:line="360" w:lineRule="auto"/>
        <w:jc w:val="both"/>
        <w:rPr>
          <w:rFonts w:ascii="Times New Roman" w:hAnsi="Times New Roman" w:cs="Times New Roman"/>
          <w:sz w:val="24"/>
          <w:szCs w:val="24"/>
          <w:lang w:val="en-US"/>
        </w:rPr>
      </w:pPr>
    </w:p>
    <w:p w:rsidR="001F3518" w:rsidRDefault="00AD6CDF" w:rsidP="00F62C6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if </w:t>
      </w:r>
      <w:r w:rsidR="000F0A6A" w:rsidRPr="000F0A6A">
        <w:rPr>
          <w:rFonts w:ascii="Times New Roman" w:hAnsi="Times New Roman" w:cs="Times New Roman"/>
          <w:i/>
          <w:sz w:val="24"/>
          <w:szCs w:val="24"/>
          <w:lang w:val="en-US"/>
        </w:rPr>
        <w:t>P</w:t>
      </w:r>
      <w:r w:rsidR="000F0A6A">
        <w:rPr>
          <w:rFonts w:ascii="Times New Roman" w:hAnsi="Times New Roman" w:cs="Times New Roman"/>
          <w:sz w:val="24"/>
          <w:szCs w:val="24"/>
          <w:lang w:val="en-US"/>
        </w:rPr>
        <w:t xml:space="preserve"> = .10 consistent with the Auckland lockdown, </w:t>
      </w:r>
      <w:r w:rsidR="000F0A6A" w:rsidRPr="000F0A6A">
        <w:rPr>
          <w:rFonts w:ascii="Times New Roman" w:hAnsi="Times New Roman" w:cs="Times New Roman"/>
          <w:i/>
          <w:sz w:val="24"/>
          <w:szCs w:val="24"/>
          <w:lang w:val="en-US"/>
        </w:rPr>
        <w:t>N</w:t>
      </w:r>
      <w:r w:rsidR="001F7D42">
        <w:rPr>
          <w:rFonts w:ascii="Times New Roman" w:hAnsi="Times New Roman" w:cs="Times New Roman"/>
          <w:i/>
          <w:sz w:val="24"/>
          <w:szCs w:val="24"/>
          <w:lang w:val="en-US"/>
        </w:rPr>
        <w:t>Q</w:t>
      </w:r>
      <w:r w:rsidR="00D11F2E">
        <w:rPr>
          <w:rFonts w:ascii="Times New Roman" w:hAnsi="Times New Roman" w:cs="Times New Roman"/>
          <w:sz w:val="24"/>
          <w:szCs w:val="24"/>
          <w:lang w:val="en-US"/>
        </w:rPr>
        <w:t xml:space="preserve"> would have to be at least 3.1</w:t>
      </w:r>
      <w:r w:rsidR="00576D20">
        <w:rPr>
          <w:rFonts w:ascii="Times New Roman" w:hAnsi="Times New Roman" w:cs="Times New Roman"/>
          <w:sz w:val="24"/>
          <w:szCs w:val="24"/>
          <w:lang w:val="en-US"/>
        </w:rPr>
        <w:t xml:space="preserve"> to justify lockdown</w:t>
      </w:r>
      <w:r w:rsidR="00967A9F">
        <w:rPr>
          <w:rFonts w:ascii="Times New Roman" w:hAnsi="Times New Roman" w:cs="Times New Roman"/>
          <w:sz w:val="24"/>
          <w:szCs w:val="24"/>
          <w:lang w:val="en-US"/>
        </w:rPr>
        <w:t xml:space="preserve">, and </w:t>
      </w:r>
      <w:proofErr w:type="spellStart"/>
      <w:r w:rsidR="00967A9F" w:rsidRPr="00967A9F">
        <w:rPr>
          <w:rFonts w:ascii="Times New Roman" w:hAnsi="Times New Roman" w:cs="Times New Roman"/>
          <w:i/>
          <w:sz w:val="24"/>
          <w:szCs w:val="24"/>
          <w:lang w:val="en-US"/>
        </w:rPr>
        <w:t>N</w:t>
      </w:r>
      <w:proofErr w:type="spellEnd"/>
      <w:r w:rsidR="00967A9F">
        <w:rPr>
          <w:rFonts w:ascii="Times New Roman" w:hAnsi="Times New Roman" w:cs="Times New Roman"/>
          <w:sz w:val="24"/>
          <w:szCs w:val="24"/>
          <w:lang w:val="en-US"/>
        </w:rPr>
        <w:t xml:space="preserve"> even larger than this</w:t>
      </w:r>
      <w:r w:rsidR="000F0A6A">
        <w:rPr>
          <w:rFonts w:ascii="Times New Roman" w:hAnsi="Times New Roman" w:cs="Times New Roman"/>
          <w:sz w:val="24"/>
          <w:szCs w:val="24"/>
          <w:lang w:val="en-US"/>
        </w:rPr>
        <w:t xml:space="preserve">.  This </w:t>
      </w:r>
      <w:r w:rsidR="0058429A">
        <w:rPr>
          <w:rFonts w:ascii="Times New Roman" w:hAnsi="Times New Roman" w:cs="Times New Roman"/>
          <w:sz w:val="24"/>
          <w:szCs w:val="24"/>
          <w:lang w:val="en-US"/>
        </w:rPr>
        <w:t xml:space="preserve">value for </w:t>
      </w:r>
      <w:r w:rsidR="0058429A" w:rsidRPr="0058429A">
        <w:rPr>
          <w:rFonts w:ascii="Times New Roman" w:hAnsi="Times New Roman" w:cs="Times New Roman"/>
          <w:i/>
          <w:sz w:val="24"/>
          <w:szCs w:val="24"/>
          <w:lang w:val="en-US"/>
        </w:rPr>
        <w:t>N</w:t>
      </w:r>
      <w:r w:rsidR="001F7D42">
        <w:rPr>
          <w:rFonts w:ascii="Times New Roman" w:hAnsi="Times New Roman" w:cs="Times New Roman"/>
          <w:i/>
          <w:sz w:val="24"/>
          <w:szCs w:val="24"/>
          <w:lang w:val="en-US"/>
        </w:rPr>
        <w:t>Q</w:t>
      </w:r>
      <w:r w:rsidR="0058429A">
        <w:rPr>
          <w:rFonts w:ascii="Times New Roman" w:hAnsi="Times New Roman" w:cs="Times New Roman"/>
          <w:sz w:val="24"/>
          <w:szCs w:val="24"/>
          <w:lang w:val="en-US"/>
        </w:rPr>
        <w:t xml:space="preserve"> </w:t>
      </w:r>
      <w:r w:rsidR="000F0A6A">
        <w:rPr>
          <w:rFonts w:ascii="Times New Roman" w:hAnsi="Times New Roman" w:cs="Times New Roman"/>
          <w:sz w:val="24"/>
          <w:szCs w:val="24"/>
          <w:lang w:val="en-US"/>
        </w:rPr>
        <w:t xml:space="preserve">is </w:t>
      </w:r>
      <w:r w:rsidR="00D11F2E">
        <w:rPr>
          <w:rFonts w:ascii="Times New Roman" w:hAnsi="Times New Roman" w:cs="Times New Roman"/>
          <w:sz w:val="24"/>
          <w:szCs w:val="24"/>
          <w:lang w:val="en-US"/>
        </w:rPr>
        <w:t>much larger than before and therefore much less likely</w:t>
      </w:r>
      <w:r w:rsidR="0058429A">
        <w:rPr>
          <w:rFonts w:ascii="Times New Roman" w:hAnsi="Times New Roman" w:cs="Times New Roman"/>
          <w:sz w:val="24"/>
          <w:szCs w:val="24"/>
          <w:lang w:val="en-US"/>
        </w:rPr>
        <w:t xml:space="preserve"> to be true</w:t>
      </w:r>
      <w:r w:rsidR="000F0A6A">
        <w:rPr>
          <w:rFonts w:ascii="Times New Roman" w:hAnsi="Times New Roman" w:cs="Times New Roman"/>
          <w:sz w:val="24"/>
          <w:szCs w:val="24"/>
          <w:lang w:val="en-US"/>
        </w:rPr>
        <w:t xml:space="preserve">.  </w:t>
      </w:r>
    </w:p>
    <w:p w:rsidR="00967A9F" w:rsidRDefault="00967A9F" w:rsidP="00F62C60">
      <w:pPr>
        <w:spacing w:after="0" w:line="360" w:lineRule="auto"/>
        <w:jc w:val="both"/>
        <w:rPr>
          <w:rFonts w:ascii="Times New Roman" w:hAnsi="Times New Roman" w:cs="Times New Roman"/>
          <w:sz w:val="24"/>
          <w:szCs w:val="24"/>
          <w:lang w:val="en-US"/>
        </w:rPr>
      </w:pPr>
    </w:p>
    <w:p w:rsidR="00967A9F" w:rsidRPr="00967A9F" w:rsidRDefault="00967A9F" w:rsidP="00F62C6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as time passes, the point in time </w:t>
      </w:r>
      <w:r w:rsidRPr="008D6911">
        <w:rPr>
          <w:rFonts w:ascii="Times New Roman" w:hAnsi="Times New Roman" w:cs="Times New Roman"/>
          <w:i/>
          <w:sz w:val="24"/>
          <w:szCs w:val="24"/>
          <w:lang w:val="en-US"/>
        </w:rPr>
        <w:t>T</w:t>
      </w:r>
      <w:r w:rsidRPr="008D6911">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 xml:space="preserve"> at which a lockdown might be undertaken in response to an outbreak </w:t>
      </w:r>
      <w:r w:rsidR="008D6911">
        <w:rPr>
          <w:rFonts w:ascii="Times New Roman" w:hAnsi="Times New Roman" w:cs="Times New Roman"/>
          <w:sz w:val="24"/>
          <w:szCs w:val="24"/>
          <w:lang w:val="en-US"/>
        </w:rPr>
        <w:t xml:space="preserve">moves closer to the mass vaccination point </w:t>
      </w:r>
      <w:r w:rsidR="008D6911" w:rsidRPr="008D6911">
        <w:rPr>
          <w:rFonts w:ascii="Times New Roman" w:hAnsi="Times New Roman" w:cs="Times New Roman"/>
          <w:i/>
          <w:sz w:val="24"/>
          <w:szCs w:val="24"/>
          <w:lang w:val="en-US"/>
        </w:rPr>
        <w:t>T</w:t>
      </w:r>
      <w:r w:rsidR="008D6911">
        <w:rPr>
          <w:rFonts w:ascii="Times New Roman" w:hAnsi="Times New Roman" w:cs="Times New Roman"/>
          <w:sz w:val="24"/>
          <w:szCs w:val="24"/>
          <w:lang w:val="en-US"/>
        </w:rPr>
        <w:t>, and</w:t>
      </w:r>
      <w:r>
        <w:rPr>
          <w:rFonts w:ascii="Times New Roman" w:hAnsi="Times New Roman" w:cs="Times New Roman"/>
          <w:sz w:val="24"/>
          <w:szCs w:val="24"/>
          <w:lang w:val="en-US"/>
        </w:rPr>
        <w:t xml:space="preserve"> therefore the ratio (</w:t>
      </w:r>
      <w:r w:rsidRPr="008D6911">
        <w:rPr>
          <w:rFonts w:ascii="Times New Roman" w:hAnsi="Times New Roman" w:cs="Times New Roman"/>
          <w:i/>
          <w:sz w:val="24"/>
          <w:szCs w:val="24"/>
          <w:lang w:val="en-US"/>
        </w:rPr>
        <w:t>T</w:t>
      </w:r>
      <w:r>
        <w:rPr>
          <w:rFonts w:ascii="Times New Roman" w:hAnsi="Times New Roman" w:cs="Times New Roman"/>
          <w:sz w:val="24"/>
          <w:szCs w:val="24"/>
          <w:lang w:val="en-US"/>
        </w:rPr>
        <w:t xml:space="preserve"> - </w:t>
      </w:r>
      <w:r w:rsidRPr="008D6911">
        <w:rPr>
          <w:rFonts w:ascii="Times New Roman" w:hAnsi="Times New Roman" w:cs="Times New Roman"/>
          <w:i/>
          <w:sz w:val="24"/>
          <w:szCs w:val="24"/>
          <w:lang w:val="en-US"/>
        </w:rPr>
        <w:t>T</w:t>
      </w:r>
      <w:r w:rsidRPr="008D6911">
        <w:rPr>
          <w:rFonts w:ascii="Times New Roman" w:hAnsi="Times New Roman" w:cs="Times New Roman"/>
          <w:i/>
          <w:sz w:val="24"/>
          <w:szCs w:val="24"/>
          <w:vertAlign w:val="subscript"/>
          <w:lang w:val="en-US"/>
        </w:rPr>
        <w:t>1</w:t>
      </w:r>
      <w:r>
        <w:rPr>
          <w:rFonts w:ascii="Times New Roman" w:hAnsi="Times New Roman" w:cs="Times New Roman"/>
          <w:sz w:val="24"/>
          <w:szCs w:val="24"/>
          <w:lang w:val="en-US"/>
        </w:rPr>
        <w:t>)/(</w:t>
      </w:r>
      <w:r w:rsidRPr="008D6911">
        <w:rPr>
          <w:rFonts w:ascii="Times New Roman" w:hAnsi="Times New Roman" w:cs="Times New Roman"/>
          <w:i/>
          <w:sz w:val="24"/>
          <w:szCs w:val="24"/>
          <w:lang w:val="en-US"/>
        </w:rPr>
        <w:t>T</w:t>
      </w:r>
      <w:r>
        <w:rPr>
          <w:rFonts w:ascii="Times New Roman" w:hAnsi="Times New Roman" w:cs="Times New Roman"/>
          <w:sz w:val="24"/>
          <w:szCs w:val="24"/>
          <w:lang w:val="en-US"/>
        </w:rPr>
        <w:t xml:space="preserve"> – March 2020) falls, which means that </w:t>
      </w:r>
      <w:r w:rsidRPr="008D6911">
        <w:rPr>
          <w:rFonts w:ascii="Times New Roman" w:hAnsi="Times New Roman" w:cs="Times New Roman"/>
          <w:i/>
          <w:sz w:val="24"/>
          <w:szCs w:val="24"/>
          <w:lang w:val="en-US"/>
        </w:rPr>
        <w:t>Q</w:t>
      </w:r>
      <w:r w:rsidR="008D6911">
        <w:rPr>
          <w:rFonts w:ascii="Times New Roman" w:hAnsi="Times New Roman" w:cs="Times New Roman"/>
          <w:sz w:val="24"/>
          <w:szCs w:val="24"/>
          <w:lang w:val="en-US"/>
        </w:rPr>
        <w:t xml:space="preserve"> falls.  So, satisfying (8) or (9) becomes even harder, and therefore would only be warranted for smaller and smaller values of </w:t>
      </w:r>
      <w:r w:rsidR="008D6911" w:rsidRPr="00270347">
        <w:rPr>
          <w:rFonts w:ascii="Times New Roman" w:hAnsi="Times New Roman" w:cs="Times New Roman"/>
          <w:i/>
          <w:sz w:val="24"/>
          <w:szCs w:val="24"/>
          <w:lang w:val="en-US"/>
        </w:rPr>
        <w:t>P</w:t>
      </w:r>
      <w:r w:rsidR="008D6911">
        <w:rPr>
          <w:rFonts w:ascii="Times New Roman" w:hAnsi="Times New Roman" w:cs="Times New Roman"/>
          <w:sz w:val="24"/>
          <w:szCs w:val="24"/>
          <w:lang w:val="en-US"/>
        </w:rPr>
        <w:t>.</w:t>
      </w:r>
      <w:r w:rsidR="00270347">
        <w:rPr>
          <w:rFonts w:ascii="Times New Roman" w:hAnsi="Times New Roman" w:cs="Times New Roman"/>
          <w:sz w:val="24"/>
          <w:szCs w:val="24"/>
          <w:lang w:val="en-US"/>
        </w:rPr>
        <w:t xml:space="preserve">  For example, suppose </w:t>
      </w:r>
      <w:r w:rsidR="00E93339">
        <w:rPr>
          <w:rFonts w:ascii="Times New Roman" w:hAnsi="Times New Roman" w:cs="Times New Roman"/>
          <w:sz w:val="24"/>
          <w:szCs w:val="24"/>
          <w:lang w:val="en-US"/>
        </w:rPr>
        <w:t xml:space="preserve">that </w:t>
      </w:r>
      <w:r w:rsidR="000E05BC">
        <w:rPr>
          <w:rFonts w:ascii="Times New Roman" w:hAnsi="Times New Roman" w:cs="Times New Roman"/>
          <w:sz w:val="24"/>
          <w:szCs w:val="24"/>
          <w:lang w:val="en-US"/>
        </w:rPr>
        <w:t>(8) prevail</w:t>
      </w:r>
      <w:r w:rsidR="009B4223">
        <w:rPr>
          <w:rFonts w:ascii="Times New Roman" w:hAnsi="Times New Roman" w:cs="Times New Roman"/>
          <w:sz w:val="24"/>
          <w:szCs w:val="24"/>
          <w:lang w:val="en-US"/>
        </w:rPr>
        <w:t xml:space="preserve">s (one future lockdown at most), </w:t>
      </w:r>
      <w:r w:rsidR="000E05BC">
        <w:rPr>
          <w:rFonts w:ascii="Times New Roman" w:hAnsi="Times New Roman" w:cs="Times New Roman"/>
          <w:sz w:val="24"/>
          <w:szCs w:val="24"/>
          <w:lang w:val="en-US"/>
        </w:rPr>
        <w:t xml:space="preserve"> </w:t>
      </w:r>
      <w:r w:rsidR="00270347" w:rsidRPr="00270347">
        <w:rPr>
          <w:rFonts w:ascii="Times New Roman" w:hAnsi="Times New Roman" w:cs="Times New Roman"/>
          <w:i/>
          <w:sz w:val="24"/>
          <w:szCs w:val="24"/>
          <w:lang w:val="en-US"/>
        </w:rPr>
        <w:t>N</w:t>
      </w:r>
      <w:r w:rsidR="00270347">
        <w:rPr>
          <w:rFonts w:ascii="Times New Roman" w:hAnsi="Times New Roman" w:cs="Times New Roman"/>
          <w:sz w:val="24"/>
          <w:szCs w:val="24"/>
          <w:lang w:val="en-US"/>
        </w:rPr>
        <w:t xml:space="preserve"> = 2, </w:t>
      </w:r>
      <w:r w:rsidR="009B4223">
        <w:rPr>
          <w:rFonts w:ascii="Times New Roman" w:hAnsi="Times New Roman" w:cs="Times New Roman"/>
          <w:sz w:val="24"/>
          <w:szCs w:val="24"/>
          <w:lang w:val="en-US"/>
        </w:rPr>
        <w:t xml:space="preserve">mass vaccination will occur in one year from now, and </w:t>
      </w:r>
      <w:r w:rsidR="009B4223" w:rsidRPr="009B4223">
        <w:rPr>
          <w:rFonts w:ascii="Times New Roman" w:hAnsi="Times New Roman" w:cs="Times New Roman"/>
          <w:i/>
          <w:sz w:val="24"/>
          <w:szCs w:val="24"/>
          <w:lang w:val="en-US"/>
        </w:rPr>
        <w:t>Q</w:t>
      </w:r>
      <w:r w:rsidR="009B4223">
        <w:rPr>
          <w:rFonts w:ascii="Times New Roman" w:hAnsi="Times New Roman" w:cs="Times New Roman"/>
          <w:sz w:val="24"/>
          <w:szCs w:val="24"/>
          <w:lang w:val="en-US"/>
        </w:rPr>
        <w:t xml:space="preserve"> is the ratio of the time to mass vaccination (currently 1 year) to the interval from March 2020 till mass vaccination (1.75 </w:t>
      </w:r>
      <w:proofErr w:type="spellStart"/>
      <w:r w:rsidR="009B4223">
        <w:rPr>
          <w:rFonts w:ascii="Times New Roman" w:hAnsi="Times New Roman" w:cs="Times New Roman"/>
          <w:sz w:val="24"/>
          <w:szCs w:val="24"/>
          <w:lang w:val="en-US"/>
        </w:rPr>
        <w:t>yrs</w:t>
      </w:r>
      <w:proofErr w:type="spellEnd"/>
      <w:r w:rsidR="009B4223">
        <w:rPr>
          <w:rFonts w:ascii="Times New Roman" w:hAnsi="Times New Roman" w:cs="Times New Roman"/>
          <w:sz w:val="24"/>
          <w:szCs w:val="24"/>
          <w:lang w:val="en-US"/>
        </w:rPr>
        <w:t xml:space="preserve">) so that </w:t>
      </w:r>
      <w:r w:rsidR="009B4223" w:rsidRPr="009B4223">
        <w:rPr>
          <w:rFonts w:ascii="Times New Roman" w:hAnsi="Times New Roman" w:cs="Times New Roman"/>
          <w:i/>
          <w:sz w:val="24"/>
          <w:szCs w:val="24"/>
          <w:lang w:val="en-US"/>
        </w:rPr>
        <w:t>Q</w:t>
      </w:r>
      <w:r w:rsidR="009B4223">
        <w:rPr>
          <w:rFonts w:ascii="Times New Roman" w:hAnsi="Times New Roman" w:cs="Times New Roman"/>
          <w:sz w:val="24"/>
          <w:szCs w:val="24"/>
          <w:lang w:val="en-US"/>
        </w:rPr>
        <w:t xml:space="preserve"> = </w:t>
      </w:r>
      <w:r w:rsidR="00813BDD">
        <w:rPr>
          <w:rFonts w:ascii="Times New Roman" w:hAnsi="Times New Roman" w:cs="Times New Roman"/>
          <w:sz w:val="24"/>
          <w:szCs w:val="24"/>
          <w:lang w:val="en-US"/>
        </w:rPr>
        <w:t xml:space="preserve">1/1.75 = </w:t>
      </w:r>
      <w:r w:rsidR="009B4223">
        <w:rPr>
          <w:rFonts w:ascii="Times New Roman" w:hAnsi="Times New Roman" w:cs="Times New Roman"/>
          <w:sz w:val="24"/>
          <w:szCs w:val="24"/>
          <w:lang w:val="en-US"/>
        </w:rPr>
        <w:t xml:space="preserve">0.57 currently.  </w:t>
      </w:r>
      <w:r w:rsidR="00270347">
        <w:rPr>
          <w:rFonts w:ascii="Times New Roman" w:hAnsi="Times New Roman" w:cs="Times New Roman"/>
          <w:sz w:val="24"/>
          <w:szCs w:val="24"/>
          <w:lang w:val="en-US"/>
        </w:rPr>
        <w:t xml:space="preserve">Inequality (8) will then be satisfied for </w:t>
      </w:r>
      <w:r w:rsidR="00270347" w:rsidRPr="000E05BC">
        <w:rPr>
          <w:rFonts w:ascii="Times New Roman" w:hAnsi="Times New Roman" w:cs="Times New Roman"/>
          <w:i/>
          <w:sz w:val="24"/>
          <w:szCs w:val="24"/>
          <w:lang w:val="en-US"/>
        </w:rPr>
        <w:t>P</w:t>
      </w:r>
      <w:r w:rsidR="009B4223">
        <w:rPr>
          <w:rFonts w:ascii="Times New Roman" w:hAnsi="Times New Roman" w:cs="Times New Roman"/>
          <w:sz w:val="24"/>
          <w:szCs w:val="24"/>
          <w:lang w:val="en-US"/>
        </w:rPr>
        <w:t xml:space="preserve"> ≤ 0.10</w:t>
      </w:r>
      <w:r w:rsidR="00E93339">
        <w:rPr>
          <w:rFonts w:ascii="Times New Roman" w:hAnsi="Times New Roman" w:cs="Times New Roman"/>
          <w:sz w:val="24"/>
          <w:szCs w:val="24"/>
          <w:lang w:val="en-US"/>
        </w:rPr>
        <w:t xml:space="preserve">.  However, </w:t>
      </w:r>
      <w:r w:rsidR="009B4223">
        <w:rPr>
          <w:rFonts w:ascii="Times New Roman" w:hAnsi="Times New Roman" w:cs="Times New Roman"/>
          <w:sz w:val="24"/>
          <w:szCs w:val="24"/>
          <w:lang w:val="en-US"/>
        </w:rPr>
        <w:t>in four months</w:t>
      </w:r>
      <w:r w:rsidR="00813BDD">
        <w:rPr>
          <w:rFonts w:ascii="Times New Roman" w:hAnsi="Times New Roman" w:cs="Times New Roman"/>
          <w:sz w:val="24"/>
          <w:szCs w:val="24"/>
          <w:lang w:val="en-US"/>
        </w:rPr>
        <w:t>’</w:t>
      </w:r>
      <w:r w:rsidR="009B4223">
        <w:rPr>
          <w:rFonts w:ascii="Times New Roman" w:hAnsi="Times New Roman" w:cs="Times New Roman"/>
          <w:sz w:val="24"/>
          <w:szCs w:val="24"/>
          <w:lang w:val="en-US"/>
        </w:rPr>
        <w:t xml:space="preserve"> </w:t>
      </w:r>
      <w:r w:rsidR="009B4223">
        <w:rPr>
          <w:rFonts w:ascii="Times New Roman" w:hAnsi="Times New Roman" w:cs="Times New Roman"/>
          <w:sz w:val="24"/>
          <w:szCs w:val="24"/>
          <w:lang w:val="en-US"/>
        </w:rPr>
        <w:lastRenderedPageBreak/>
        <w:t xml:space="preserve">time, </w:t>
      </w:r>
      <w:r w:rsidR="00E93339" w:rsidRPr="000E05BC">
        <w:rPr>
          <w:rFonts w:ascii="Times New Roman" w:hAnsi="Times New Roman" w:cs="Times New Roman"/>
          <w:i/>
          <w:sz w:val="24"/>
          <w:szCs w:val="24"/>
          <w:lang w:val="en-US"/>
        </w:rPr>
        <w:t>Q</w:t>
      </w:r>
      <w:r w:rsidR="009B4223">
        <w:rPr>
          <w:rFonts w:ascii="Times New Roman" w:hAnsi="Times New Roman" w:cs="Times New Roman"/>
          <w:sz w:val="24"/>
          <w:szCs w:val="24"/>
          <w:lang w:val="en-US"/>
        </w:rPr>
        <w:t xml:space="preserve"> = </w:t>
      </w:r>
      <w:r w:rsidR="00813BDD">
        <w:rPr>
          <w:rFonts w:ascii="Times New Roman" w:hAnsi="Times New Roman" w:cs="Times New Roman"/>
          <w:sz w:val="24"/>
          <w:szCs w:val="24"/>
          <w:lang w:val="en-US"/>
        </w:rPr>
        <w:t xml:space="preserve">0.67/1.75 = </w:t>
      </w:r>
      <w:r w:rsidR="009B4223">
        <w:rPr>
          <w:rFonts w:ascii="Times New Roman" w:hAnsi="Times New Roman" w:cs="Times New Roman"/>
          <w:sz w:val="24"/>
          <w:szCs w:val="24"/>
          <w:lang w:val="en-US"/>
        </w:rPr>
        <w:t xml:space="preserve">0.38 in which case </w:t>
      </w:r>
      <w:r w:rsidR="00E93339">
        <w:rPr>
          <w:rFonts w:ascii="Times New Roman" w:hAnsi="Times New Roman" w:cs="Times New Roman"/>
          <w:sz w:val="24"/>
          <w:szCs w:val="24"/>
          <w:lang w:val="en-US"/>
        </w:rPr>
        <w:t xml:space="preserve">inequality (8) will only then be satisfied for </w:t>
      </w:r>
      <w:r w:rsidR="00E93339" w:rsidRPr="000E05BC">
        <w:rPr>
          <w:rFonts w:ascii="Times New Roman" w:hAnsi="Times New Roman" w:cs="Times New Roman"/>
          <w:i/>
          <w:sz w:val="24"/>
          <w:szCs w:val="24"/>
          <w:lang w:val="en-US"/>
        </w:rPr>
        <w:t>P</w:t>
      </w:r>
      <w:r w:rsidR="00E93339">
        <w:rPr>
          <w:rFonts w:ascii="Times New Roman" w:hAnsi="Times New Roman" w:cs="Times New Roman"/>
          <w:sz w:val="24"/>
          <w:szCs w:val="24"/>
          <w:lang w:val="en-US"/>
        </w:rPr>
        <w:t xml:space="preserve"> ≤</w:t>
      </w:r>
      <w:r w:rsidR="009B4223">
        <w:rPr>
          <w:rFonts w:ascii="Times New Roman" w:hAnsi="Times New Roman" w:cs="Times New Roman"/>
          <w:sz w:val="24"/>
          <w:szCs w:val="24"/>
          <w:lang w:val="en-US"/>
        </w:rPr>
        <w:t xml:space="preserve"> 0.08</w:t>
      </w:r>
      <w:r w:rsidR="000E05BC">
        <w:rPr>
          <w:rFonts w:ascii="Times New Roman" w:hAnsi="Times New Roman" w:cs="Times New Roman"/>
          <w:sz w:val="24"/>
          <w:szCs w:val="24"/>
          <w:lang w:val="en-US"/>
        </w:rPr>
        <w:t xml:space="preserve">.  So, as we move closer to the mass vaccination point in time, the proportion of the national GDP generated by the region subject to a lockdown </w:t>
      </w:r>
      <w:r w:rsidR="00813BDD">
        <w:rPr>
          <w:rFonts w:ascii="Times New Roman" w:hAnsi="Times New Roman" w:cs="Times New Roman"/>
          <w:sz w:val="24"/>
          <w:szCs w:val="24"/>
          <w:lang w:val="en-US"/>
        </w:rPr>
        <w:t xml:space="preserve">that is justified </w:t>
      </w:r>
      <w:r w:rsidR="000E05BC">
        <w:rPr>
          <w:rFonts w:ascii="Times New Roman" w:hAnsi="Times New Roman" w:cs="Times New Roman"/>
          <w:sz w:val="24"/>
          <w:szCs w:val="24"/>
          <w:lang w:val="en-US"/>
        </w:rPr>
        <w:t>declines towards zero.</w:t>
      </w:r>
    </w:p>
    <w:p w:rsidR="00551233" w:rsidRDefault="00551233" w:rsidP="00F00CE2">
      <w:pPr>
        <w:spacing w:after="0" w:line="360" w:lineRule="auto"/>
        <w:jc w:val="both"/>
        <w:rPr>
          <w:rFonts w:ascii="Times New Roman" w:hAnsi="Times New Roman" w:cs="Times New Roman"/>
          <w:sz w:val="24"/>
          <w:szCs w:val="24"/>
          <w:lang w:val="en-US"/>
        </w:rPr>
      </w:pPr>
    </w:p>
    <w:p w:rsidR="00FF3CE0" w:rsidRDefault="00FF3CE0" w:rsidP="00F00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before, these conclusions rest upon using estimates f</w:t>
      </w:r>
      <w:r w:rsidR="00E02D3D">
        <w:rPr>
          <w:rFonts w:ascii="Times New Roman" w:hAnsi="Times New Roman" w:cs="Times New Roman"/>
          <w:sz w:val="24"/>
          <w:szCs w:val="24"/>
          <w:lang w:val="en-US"/>
        </w:rPr>
        <w:t>or the parameters in equation (5</w:t>
      </w:r>
      <w:r>
        <w:rPr>
          <w:rFonts w:ascii="Times New Roman" w:hAnsi="Times New Roman" w:cs="Times New Roman"/>
          <w:sz w:val="24"/>
          <w:szCs w:val="24"/>
          <w:lang w:val="en-US"/>
        </w:rPr>
        <w:t xml:space="preserve">) that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most </w:t>
      </w:r>
      <w:proofErr w:type="spellStart"/>
      <w:r>
        <w:rPr>
          <w:rFonts w:ascii="Times New Roman" w:hAnsi="Times New Roman" w:cs="Times New Roman"/>
          <w:sz w:val="24"/>
          <w:szCs w:val="24"/>
          <w:lang w:val="en-US"/>
        </w:rPr>
        <w:t>favourable</w:t>
      </w:r>
      <w:proofErr w:type="spellEnd"/>
      <w:r>
        <w:rPr>
          <w:rFonts w:ascii="Times New Roman" w:hAnsi="Times New Roman" w:cs="Times New Roman"/>
          <w:sz w:val="24"/>
          <w:szCs w:val="24"/>
          <w:lang w:val="en-US"/>
        </w:rPr>
        <w:t xml:space="preserve"> to a lockdown decision.  </w:t>
      </w:r>
      <w:r w:rsidR="00886CF8">
        <w:rPr>
          <w:rFonts w:ascii="Times New Roman" w:hAnsi="Times New Roman" w:cs="Times New Roman"/>
          <w:sz w:val="24"/>
          <w:szCs w:val="24"/>
          <w:lang w:val="en-US"/>
        </w:rPr>
        <w:t xml:space="preserve">These conclusions also rest upon </w:t>
      </w:r>
      <w:r>
        <w:rPr>
          <w:rFonts w:ascii="Times New Roman" w:hAnsi="Times New Roman" w:cs="Times New Roman"/>
          <w:sz w:val="24"/>
          <w:szCs w:val="24"/>
          <w:lang w:val="en-US"/>
        </w:rPr>
        <w:t>ignoring various phenomena that would raise the costs of lockdowns but cannot be quantified: problems arising from the increased unemployment (addiction, crime, domestic violence, mental health problems, and premature death), disruption to the normal operation of the health care system leading to deaths that would not otherwise occur, disruption to the education of the Covid-19 student cohort, and the deprival of liberties that people would otherwise enjoy.</w:t>
      </w:r>
      <w:r w:rsidR="00886CF8">
        <w:rPr>
          <w:rFonts w:ascii="Times New Roman" w:hAnsi="Times New Roman" w:cs="Times New Roman"/>
          <w:sz w:val="24"/>
          <w:szCs w:val="24"/>
          <w:lang w:val="en-US"/>
        </w:rPr>
        <w:t xml:space="preserve">  Allowance for these factors means that, for a given value of </w:t>
      </w:r>
      <w:r w:rsidR="00886CF8" w:rsidRPr="00886CF8">
        <w:rPr>
          <w:rFonts w:ascii="Times New Roman" w:hAnsi="Times New Roman" w:cs="Times New Roman"/>
          <w:i/>
          <w:sz w:val="24"/>
          <w:szCs w:val="24"/>
          <w:lang w:val="en-US"/>
        </w:rPr>
        <w:t>P</w:t>
      </w:r>
      <w:r w:rsidR="00886CF8">
        <w:rPr>
          <w:rFonts w:ascii="Times New Roman" w:hAnsi="Times New Roman" w:cs="Times New Roman"/>
          <w:sz w:val="24"/>
          <w:szCs w:val="24"/>
          <w:lang w:val="en-US"/>
        </w:rPr>
        <w:t xml:space="preserve">, the minimum value of </w:t>
      </w:r>
      <w:r w:rsidR="00886CF8" w:rsidRPr="00886CF8">
        <w:rPr>
          <w:rFonts w:ascii="Times New Roman" w:hAnsi="Times New Roman" w:cs="Times New Roman"/>
          <w:i/>
          <w:sz w:val="24"/>
          <w:szCs w:val="24"/>
          <w:lang w:val="en-US"/>
        </w:rPr>
        <w:t>N</w:t>
      </w:r>
      <w:r w:rsidR="00886CF8">
        <w:rPr>
          <w:rFonts w:ascii="Times New Roman" w:hAnsi="Times New Roman" w:cs="Times New Roman"/>
          <w:sz w:val="24"/>
          <w:szCs w:val="24"/>
          <w:lang w:val="en-US"/>
        </w:rPr>
        <w:t xml:space="preserve"> consistent with a lockdown policy being optimal rises, thereby making lockd</w:t>
      </w:r>
      <w:r w:rsidR="00C879CC">
        <w:rPr>
          <w:rFonts w:ascii="Times New Roman" w:hAnsi="Times New Roman" w:cs="Times New Roman"/>
          <w:sz w:val="24"/>
          <w:szCs w:val="24"/>
          <w:lang w:val="en-US"/>
        </w:rPr>
        <w:t>own less likely to be justified.</w:t>
      </w:r>
    </w:p>
    <w:p w:rsidR="00886CF8" w:rsidRDefault="00886CF8" w:rsidP="00F00CE2">
      <w:pPr>
        <w:spacing w:after="0" w:line="360" w:lineRule="auto"/>
        <w:jc w:val="both"/>
        <w:rPr>
          <w:rFonts w:ascii="Times New Roman" w:hAnsi="Times New Roman" w:cs="Times New Roman"/>
          <w:sz w:val="24"/>
          <w:szCs w:val="24"/>
          <w:lang w:val="en-US"/>
        </w:rPr>
      </w:pPr>
    </w:p>
    <w:p w:rsidR="00D67949" w:rsidRDefault="005166A7" w:rsidP="00D6794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in considering the possibility of </w:t>
      </w:r>
      <w:r w:rsidR="002C46DC">
        <w:rPr>
          <w:rFonts w:ascii="Times New Roman" w:hAnsi="Times New Roman" w:cs="Times New Roman"/>
          <w:sz w:val="24"/>
          <w:szCs w:val="24"/>
          <w:lang w:val="en-US"/>
        </w:rPr>
        <w:t xml:space="preserve">future </w:t>
      </w:r>
      <w:r w:rsidR="00616B98">
        <w:rPr>
          <w:rFonts w:ascii="Times New Roman" w:hAnsi="Times New Roman" w:cs="Times New Roman"/>
          <w:sz w:val="24"/>
          <w:szCs w:val="24"/>
          <w:lang w:val="en-US"/>
        </w:rPr>
        <w:t xml:space="preserve">outbreaks that </w:t>
      </w:r>
      <w:r w:rsidR="0058624B">
        <w:rPr>
          <w:rFonts w:ascii="Times New Roman" w:hAnsi="Times New Roman" w:cs="Times New Roman"/>
          <w:sz w:val="24"/>
          <w:szCs w:val="24"/>
          <w:lang w:val="en-US"/>
        </w:rPr>
        <w:t xml:space="preserve">could not be </w:t>
      </w:r>
      <w:r w:rsidR="00616B98">
        <w:rPr>
          <w:rFonts w:ascii="Times New Roman" w:hAnsi="Times New Roman" w:cs="Times New Roman"/>
          <w:sz w:val="24"/>
          <w:szCs w:val="24"/>
          <w:lang w:val="en-US"/>
        </w:rPr>
        <w:t>contained with only quarantining of cases</w:t>
      </w:r>
      <w:r>
        <w:rPr>
          <w:rFonts w:ascii="Times New Roman" w:hAnsi="Times New Roman" w:cs="Times New Roman"/>
          <w:sz w:val="24"/>
          <w:szCs w:val="24"/>
          <w:lang w:val="en-US"/>
        </w:rPr>
        <w:t xml:space="preserve">, </w:t>
      </w:r>
      <w:r w:rsidR="00616B98">
        <w:rPr>
          <w:rFonts w:ascii="Times New Roman" w:hAnsi="Times New Roman" w:cs="Times New Roman"/>
          <w:sz w:val="24"/>
          <w:szCs w:val="24"/>
          <w:lang w:val="en-US"/>
        </w:rPr>
        <w:t xml:space="preserve">lockdowns </w:t>
      </w:r>
      <w:r w:rsidR="00215B4D">
        <w:rPr>
          <w:rFonts w:ascii="Times New Roman" w:hAnsi="Times New Roman" w:cs="Times New Roman"/>
          <w:sz w:val="24"/>
          <w:szCs w:val="24"/>
          <w:lang w:val="en-US"/>
        </w:rPr>
        <w:t xml:space="preserve">might </w:t>
      </w:r>
      <w:r w:rsidR="009A57D3">
        <w:rPr>
          <w:rFonts w:ascii="Times New Roman" w:hAnsi="Times New Roman" w:cs="Times New Roman"/>
          <w:sz w:val="24"/>
          <w:szCs w:val="24"/>
          <w:lang w:val="en-US"/>
        </w:rPr>
        <w:t xml:space="preserve">be </w:t>
      </w:r>
      <w:r w:rsidR="000F0A6A">
        <w:rPr>
          <w:rFonts w:ascii="Times New Roman" w:hAnsi="Times New Roman" w:cs="Times New Roman"/>
          <w:sz w:val="24"/>
          <w:szCs w:val="24"/>
          <w:lang w:val="en-US"/>
        </w:rPr>
        <w:t xml:space="preserve">justified if the </w:t>
      </w:r>
      <w:r w:rsidR="0052397F">
        <w:rPr>
          <w:rFonts w:ascii="Times New Roman" w:hAnsi="Times New Roman" w:cs="Times New Roman"/>
          <w:sz w:val="24"/>
          <w:szCs w:val="24"/>
          <w:lang w:val="en-US"/>
        </w:rPr>
        <w:t xml:space="preserve">proportion of the </w:t>
      </w:r>
      <w:r w:rsidR="000605BA">
        <w:rPr>
          <w:rFonts w:ascii="Times New Roman" w:hAnsi="Times New Roman" w:cs="Times New Roman"/>
          <w:sz w:val="24"/>
          <w:szCs w:val="24"/>
          <w:lang w:val="en-US"/>
        </w:rPr>
        <w:t xml:space="preserve">national GDP generated by the region subject to lockdown </w:t>
      </w:r>
      <w:r w:rsidR="0052397F">
        <w:rPr>
          <w:rFonts w:ascii="Times New Roman" w:hAnsi="Times New Roman" w:cs="Times New Roman"/>
          <w:sz w:val="24"/>
          <w:szCs w:val="24"/>
          <w:lang w:val="en-US"/>
        </w:rPr>
        <w:t xml:space="preserve">were </w:t>
      </w:r>
      <w:r w:rsidR="00C113D4">
        <w:rPr>
          <w:rFonts w:ascii="Times New Roman" w:hAnsi="Times New Roman" w:cs="Times New Roman"/>
          <w:sz w:val="24"/>
          <w:szCs w:val="24"/>
          <w:lang w:val="en-US"/>
        </w:rPr>
        <w:t xml:space="preserve">sufficiently </w:t>
      </w:r>
      <w:r w:rsidR="000F0A6A">
        <w:rPr>
          <w:rFonts w:ascii="Times New Roman" w:hAnsi="Times New Roman" w:cs="Times New Roman"/>
          <w:sz w:val="24"/>
          <w:szCs w:val="24"/>
          <w:lang w:val="en-US"/>
        </w:rPr>
        <w:t xml:space="preserve">small </w:t>
      </w:r>
      <w:r w:rsidR="008E2D2A">
        <w:rPr>
          <w:rFonts w:ascii="Times New Roman" w:hAnsi="Times New Roman" w:cs="Times New Roman"/>
          <w:sz w:val="24"/>
          <w:szCs w:val="24"/>
          <w:lang w:val="en-US"/>
        </w:rPr>
        <w:t>(</w:t>
      </w:r>
      <w:r w:rsidR="000F0A6A">
        <w:rPr>
          <w:rFonts w:ascii="Times New Roman" w:hAnsi="Times New Roman" w:cs="Times New Roman"/>
          <w:sz w:val="24"/>
          <w:szCs w:val="24"/>
          <w:lang w:val="en-US"/>
        </w:rPr>
        <w:t xml:space="preserve">with </w:t>
      </w:r>
      <w:r w:rsidR="00C113D4">
        <w:rPr>
          <w:rFonts w:ascii="Times New Roman" w:hAnsi="Times New Roman" w:cs="Times New Roman"/>
          <w:sz w:val="24"/>
          <w:szCs w:val="24"/>
          <w:lang w:val="en-US"/>
        </w:rPr>
        <w:t>A</w:t>
      </w:r>
      <w:r w:rsidR="000F0A6A">
        <w:rPr>
          <w:rFonts w:ascii="Times New Roman" w:hAnsi="Times New Roman" w:cs="Times New Roman"/>
          <w:sz w:val="24"/>
          <w:szCs w:val="24"/>
          <w:lang w:val="en-US"/>
        </w:rPr>
        <w:t xml:space="preserve">uckland </w:t>
      </w:r>
      <w:r w:rsidR="000605BA">
        <w:rPr>
          <w:rFonts w:ascii="Times New Roman" w:hAnsi="Times New Roman" w:cs="Times New Roman"/>
          <w:sz w:val="24"/>
          <w:szCs w:val="24"/>
          <w:lang w:val="en-US"/>
        </w:rPr>
        <w:t xml:space="preserve">currently </w:t>
      </w:r>
      <w:r w:rsidR="00C113D4">
        <w:rPr>
          <w:rFonts w:ascii="Times New Roman" w:hAnsi="Times New Roman" w:cs="Times New Roman"/>
          <w:sz w:val="24"/>
          <w:szCs w:val="24"/>
          <w:lang w:val="en-US"/>
        </w:rPr>
        <w:t>being the upper limit)</w:t>
      </w:r>
      <w:r w:rsidR="008E2D2A">
        <w:rPr>
          <w:rFonts w:ascii="Times New Roman" w:hAnsi="Times New Roman" w:cs="Times New Roman"/>
          <w:sz w:val="24"/>
          <w:szCs w:val="24"/>
          <w:lang w:val="en-US"/>
        </w:rPr>
        <w:t xml:space="preserve"> and </w:t>
      </w:r>
      <w:r w:rsidR="0058429A">
        <w:rPr>
          <w:rFonts w:ascii="Times New Roman" w:hAnsi="Times New Roman" w:cs="Times New Roman"/>
          <w:sz w:val="24"/>
          <w:szCs w:val="24"/>
          <w:lang w:val="en-US"/>
        </w:rPr>
        <w:t xml:space="preserve">the probability of conditions giving rise to a </w:t>
      </w:r>
      <w:r w:rsidR="007021B7">
        <w:rPr>
          <w:rFonts w:ascii="Times New Roman" w:hAnsi="Times New Roman" w:cs="Times New Roman"/>
          <w:sz w:val="24"/>
          <w:szCs w:val="24"/>
          <w:lang w:val="en-US"/>
        </w:rPr>
        <w:t xml:space="preserve">second future </w:t>
      </w:r>
      <w:r w:rsidR="008E2D2A">
        <w:rPr>
          <w:rFonts w:ascii="Times New Roman" w:hAnsi="Times New Roman" w:cs="Times New Roman"/>
          <w:sz w:val="24"/>
          <w:szCs w:val="24"/>
          <w:lang w:val="en-US"/>
        </w:rPr>
        <w:t xml:space="preserve">lockdown </w:t>
      </w:r>
      <w:r w:rsidR="0058429A">
        <w:rPr>
          <w:rFonts w:ascii="Times New Roman" w:hAnsi="Times New Roman" w:cs="Times New Roman"/>
          <w:sz w:val="24"/>
          <w:szCs w:val="24"/>
          <w:lang w:val="en-US"/>
        </w:rPr>
        <w:t>is not high</w:t>
      </w:r>
      <w:r w:rsidR="00D67949">
        <w:rPr>
          <w:rFonts w:ascii="Times New Roman" w:hAnsi="Times New Roman" w:cs="Times New Roman"/>
          <w:sz w:val="24"/>
          <w:szCs w:val="24"/>
          <w:lang w:val="en-US"/>
        </w:rPr>
        <w:t>.  As we move closer to the mass vaccination point in time, this proportion goes to zero.</w:t>
      </w:r>
    </w:p>
    <w:p w:rsidR="005166A7" w:rsidRDefault="005166A7" w:rsidP="00F00CE2">
      <w:pPr>
        <w:spacing w:after="0" w:line="360" w:lineRule="auto"/>
        <w:jc w:val="both"/>
        <w:rPr>
          <w:rFonts w:ascii="Times New Roman" w:hAnsi="Times New Roman" w:cs="Times New Roman"/>
          <w:sz w:val="24"/>
          <w:szCs w:val="24"/>
          <w:lang w:val="en-US"/>
        </w:rPr>
      </w:pPr>
    </w:p>
    <w:p w:rsidR="003F136A" w:rsidRDefault="003F136A" w:rsidP="003F136A">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rsidR="003F136A" w:rsidRDefault="003F136A" w:rsidP="003F136A">
      <w:pPr>
        <w:spacing w:after="0" w:line="360" w:lineRule="auto"/>
        <w:jc w:val="both"/>
        <w:rPr>
          <w:rFonts w:ascii="Times New Roman" w:hAnsi="Times New Roman" w:cs="Times New Roman"/>
          <w:b/>
          <w:sz w:val="24"/>
          <w:szCs w:val="24"/>
          <w:lang w:val="en-US"/>
        </w:rPr>
      </w:pPr>
    </w:p>
    <w:p w:rsidR="00433A83" w:rsidRDefault="00433A83" w:rsidP="00433A8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World-wide, many governments </w:t>
      </w:r>
      <w:r w:rsidR="00E461D4">
        <w:rPr>
          <w:rFonts w:ascii="Times New Roman" w:hAnsi="Times New Roman" w:cs="Times New Roman"/>
          <w:sz w:val="24"/>
          <w:szCs w:val="24"/>
          <w:lang w:val="en-US"/>
        </w:rPr>
        <w:t xml:space="preserve">have implemented </w:t>
      </w:r>
      <w:r w:rsidR="00605D84">
        <w:rPr>
          <w:rFonts w:ascii="Times New Roman" w:hAnsi="Times New Roman" w:cs="Times New Roman"/>
          <w:sz w:val="24"/>
          <w:szCs w:val="24"/>
          <w:lang w:val="en-US"/>
        </w:rPr>
        <w:t>substantial curtailments of normal economic activity in order to reduce the expected death toll from Covid-19</w:t>
      </w:r>
      <w:r>
        <w:rPr>
          <w:rFonts w:ascii="Times New Roman" w:hAnsi="Times New Roman" w:cs="Times New Roman"/>
          <w:sz w:val="24"/>
          <w:szCs w:val="24"/>
          <w:lang w:val="en-US"/>
        </w:rPr>
        <w:t xml:space="preserve">.  </w:t>
      </w:r>
      <w:r w:rsidR="00E159A6">
        <w:rPr>
          <w:rFonts w:ascii="Times New Roman" w:hAnsi="Times New Roman" w:cs="Times New Roman"/>
          <w:sz w:val="24"/>
          <w:szCs w:val="24"/>
          <w:lang w:val="en-US"/>
        </w:rPr>
        <w:t>This paper considered</w:t>
      </w:r>
      <w:r w:rsidR="00FD437C">
        <w:rPr>
          <w:rFonts w:ascii="Times New Roman" w:hAnsi="Times New Roman" w:cs="Times New Roman"/>
          <w:sz w:val="24"/>
          <w:szCs w:val="24"/>
          <w:lang w:val="en-US"/>
        </w:rPr>
        <w:t xml:space="preserve"> the </w:t>
      </w:r>
      <w:r w:rsidR="00E159A6">
        <w:rPr>
          <w:rFonts w:ascii="Times New Roman" w:hAnsi="Times New Roman" w:cs="Times New Roman"/>
          <w:sz w:val="24"/>
          <w:szCs w:val="24"/>
          <w:lang w:val="en-US"/>
        </w:rPr>
        <w:t xml:space="preserve">merits of </w:t>
      </w:r>
      <w:r w:rsidR="00C90AB1">
        <w:rPr>
          <w:rFonts w:ascii="Times New Roman" w:hAnsi="Times New Roman" w:cs="Times New Roman"/>
          <w:sz w:val="24"/>
          <w:szCs w:val="24"/>
          <w:lang w:val="en-US"/>
        </w:rPr>
        <w:t xml:space="preserve">the New Zealand government adopting </w:t>
      </w:r>
      <w:r w:rsidR="00FD437C">
        <w:rPr>
          <w:rFonts w:ascii="Times New Roman" w:hAnsi="Times New Roman" w:cs="Times New Roman"/>
          <w:sz w:val="24"/>
          <w:szCs w:val="24"/>
          <w:lang w:val="en-US"/>
        </w:rPr>
        <w:t xml:space="preserve">a </w:t>
      </w:r>
      <w:r w:rsidR="00A1047E">
        <w:rPr>
          <w:rFonts w:ascii="Times New Roman" w:hAnsi="Times New Roman" w:cs="Times New Roman"/>
          <w:sz w:val="24"/>
          <w:szCs w:val="24"/>
          <w:lang w:val="en-US"/>
        </w:rPr>
        <w:t xml:space="preserve">lockdown </w:t>
      </w:r>
      <w:r w:rsidR="00FC1C68">
        <w:rPr>
          <w:rFonts w:ascii="Times New Roman" w:hAnsi="Times New Roman" w:cs="Times New Roman"/>
          <w:sz w:val="24"/>
          <w:szCs w:val="24"/>
          <w:lang w:val="en-US"/>
        </w:rPr>
        <w:t xml:space="preserve">rather than a milder mitigation </w:t>
      </w:r>
      <w:r w:rsidR="00770904">
        <w:rPr>
          <w:rFonts w:ascii="Times New Roman" w:hAnsi="Times New Roman" w:cs="Times New Roman"/>
          <w:sz w:val="24"/>
          <w:szCs w:val="24"/>
          <w:lang w:val="en-US"/>
        </w:rPr>
        <w:t>policy</w:t>
      </w:r>
      <w:r w:rsidR="00C90AB1">
        <w:rPr>
          <w:rFonts w:ascii="Times New Roman" w:hAnsi="Times New Roman" w:cs="Times New Roman"/>
          <w:sz w:val="24"/>
          <w:szCs w:val="24"/>
          <w:lang w:val="en-US"/>
        </w:rPr>
        <w:t xml:space="preserve">, with the actions of </w:t>
      </w:r>
      <w:r w:rsidR="00004068">
        <w:rPr>
          <w:rFonts w:ascii="Times New Roman" w:hAnsi="Times New Roman" w:cs="Times New Roman"/>
          <w:sz w:val="24"/>
          <w:szCs w:val="24"/>
          <w:lang w:val="en-US"/>
        </w:rPr>
        <w:t xml:space="preserve">individuals and </w:t>
      </w:r>
      <w:r w:rsidR="00C90AB1">
        <w:rPr>
          <w:rFonts w:ascii="Times New Roman" w:hAnsi="Times New Roman" w:cs="Times New Roman"/>
          <w:sz w:val="24"/>
          <w:szCs w:val="24"/>
          <w:lang w:val="en-US"/>
        </w:rPr>
        <w:t>other governments taken as given</w:t>
      </w:r>
      <w:r w:rsidR="00FD437C">
        <w:rPr>
          <w:rFonts w:ascii="Times New Roman" w:hAnsi="Times New Roman" w:cs="Times New Roman"/>
          <w:sz w:val="24"/>
          <w:szCs w:val="24"/>
          <w:lang w:val="en-US"/>
        </w:rPr>
        <w:t xml:space="preserve">.  </w:t>
      </w:r>
      <w:r w:rsidR="00837A84">
        <w:rPr>
          <w:rFonts w:ascii="Times New Roman" w:hAnsi="Times New Roman" w:cs="Times New Roman"/>
          <w:sz w:val="24"/>
          <w:szCs w:val="24"/>
          <w:lang w:val="en-US"/>
        </w:rPr>
        <w:t>Based upon the information available at the time of the first lockdown</w:t>
      </w:r>
      <w:r w:rsidR="002E2B45">
        <w:rPr>
          <w:rFonts w:ascii="Times New Roman" w:hAnsi="Times New Roman" w:cs="Times New Roman"/>
          <w:sz w:val="24"/>
          <w:szCs w:val="24"/>
          <w:lang w:val="en-US"/>
        </w:rPr>
        <w:t xml:space="preserve"> in March</w:t>
      </w:r>
      <w:r w:rsidR="00837A84">
        <w:rPr>
          <w:rFonts w:ascii="Times New Roman" w:hAnsi="Times New Roman" w:cs="Times New Roman"/>
          <w:sz w:val="24"/>
          <w:szCs w:val="24"/>
          <w:lang w:val="en-US"/>
        </w:rPr>
        <w:t xml:space="preserve">, </w:t>
      </w:r>
      <w:r w:rsidR="007E65D8">
        <w:rPr>
          <w:rFonts w:ascii="Times New Roman" w:hAnsi="Times New Roman" w:cs="Times New Roman"/>
          <w:sz w:val="24"/>
          <w:szCs w:val="24"/>
          <w:lang w:val="en-US"/>
        </w:rPr>
        <w:t xml:space="preserve">the </w:t>
      </w:r>
      <w:r w:rsidR="00E461D4">
        <w:rPr>
          <w:rFonts w:ascii="Times New Roman" w:hAnsi="Times New Roman" w:cs="Times New Roman"/>
          <w:sz w:val="24"/>
          <w:szCs w:val="24"/>
          <w:lang w:val="en-US"/>
        </w:rPr>
        <w:t xml:space="preserve">cost per QALY saved </w:t>
      </w:r>
      <w:r w:rsidR="00F80BDD">
        <w:rPr>
          <w:rFonts w:ascii="Times New Roman" w:hAnsi="Times New Roman" w:cs="Times New Roman"/>
          <w:sz w:val="24"/>
          <w:szCs w:val="24"/>
          <w:lang w:val="en-US"/>
        </w:rPr>
        <w:t xml:space="preserve">from doing so </w:t>
      </w:r>
      <w:r w:rsidR="007E65D8">
        <w:rPr>
          <w:rFonts w:ascii="Times New Roman" w:hAnsi="Times New Roman" w:cs="Times New Roman"/>
          <w:sz w:val="24"/>
          <w:szCs w:val="24"/>
          <w:lang w:val="en-US"/>
        </w:rPr>
        <w:t xml:space="preserve">was well in excess of generally </w:t>
      </w:r>
      <w:r>
        <w:rPr>
          <w:rFonts w:ascii="Times New Roman" w:hAnsi="Times New Roman" w:cs="Times New Roman"/>
          <w:sz w:val="24"/>
          <w:szCs w:val="24"/>
          <w:lang w:val="en-US"/>
        </w:rPr>
        <w:t xml:space="preserve">used </w:t>
      </w:r>
      <w:r w:rsidR="002E3C8F">
        <w:rPr>
          <w:rFonts w:ascii="Times New Roman" w:hAnsi="Times New Roman" w:cs="Times New Roman"/>
          <w:sz w:val="24"/>
          <w:szCs w:val="24"/>
          <w:lang w:val="en-US"/>
        </w:rPr>
        <w:t>value</w:t>
      </w:r>
      <w:r w:rsidR="009E7A09">
        <w:rPr>
          <w:rFonts w:ascii="Times New Roman" w:hAnsi="Times New Roman" w:cs="Times New Roman"/>
          <w:sz w:val="24"/>
          <w:szCs w:val="24"/>
          <w:lang w:val="en-US"/>
        </w:rPr>
        <w:t>s</w:t>
      </w:r>
      <w:r w:rsidR="002E3C8F">
        <w:rPr>
          <w:rFonts w:ascii="Times New Roman" w:hAnsi="Times New Roman" w:cs="Times New Roman"/>
          <w:sz w:val="24"/>
          <w:szCs w:val="24"/>
          <w:lang w:val="en-US"/>
        </w:rPr>
        <w:t xml:space="preserve"> for a QALY</w:t>
      </w:r>
      <w:r>
        <w:rPr>
          <w:rFonts w:ascii="Times New Roman" w:hAnsi="Times New Roman" w:cs="Times New Roman"/>
          <w:sz w:val="24"/>
          <w:szCs w:val="24"/>
          <w:lang w:val="en-US"/>
        </w:rPr>
        <w:t xml:space="preserve">.  </w:t>
      </w:r>
      <w:r w:rsidR="003861A3">
        <w:rPr>
          <w:rFonts w:ascii="Times New Roman" w:hAnsi="Times New Roman" w:cs="Times New Roman"/>
          <w:sz w:val="24"/>
          <w:szCs w:val="24"/>
          <w:lang w:val="en-US"/>
        </w:rPr>
        <w:t xml:space="preserve">Consideration of alternative parameter values and recognition of factors omitted from the analysis </w:t>
      </w:r>
      <w:r w:rsidR="00CD1CF0">
        <w:rPr>
          <w:rFonts w:ascii="Times New Roman" w:hAnsi="Times New Roman" w:cs="Times New Roman"/>
          <w:sz w:val="24"/>
          <w:szCs w:val="24"/>
          <w:lang w:val="en-US"/>
        </w:rPr>
        <w:t xml:space="preserve">would not likely </w:t>
      </w:r>
      <w:r w:rsidR="003861A3">
        <w:rPr>
          <w:rFonts w:ascii="Times New Roman" w:hAnsi="Times New Roman" w:cs="Times New Roman"/>
          <w:sz w:val="24"/>
          <w:szCs w:val="24"/>
          <w:lang w:val="en-US"/>
        </w:rPr>
        <w:t xml:space="preserve">reverse this </w:t>
      </w:r>
      <w:r w:rsidR="007B408E">
        <w:rPr>
          <w:rFonts w:ascii="Times New Roman" w:hAnsi="Times New Roman" w:cs="Times New Roman"/>
          <w:sz w:val="24"/>
          <w:szCs w:val="24"/>
          <w:lang w:val="en-US"/>
        </w:rPr>
        <w:t>conclusion</w:t>
      </w:r>
      <w:r w:rsidR="003861A3">
        <w:rPr>
          <w:rFonts w:ascii="Times New Roman" w:hAnsi="Times New Roman" w:cs="Times New Roman"/>
          <w:sz w:val="24"/>
          <w:szCs w:val="24"/>
          <w:lang w:val="en-US"/>
        </w:rPr>
        <w:t xml:space="preserve">.  </w:t>
      </w:r>
      <w:r w:rsidR="00E461D4">
        <w:rPr>
          <w:rFonts w:ascii="Times New Roman" w:hAnsi="Times New Roman" w:cs="Times New Roman"/>
          <w:sz w:val="24"/>
          <w:szCs w:val="24"/>
          <w:lang w:val="en-US"/>
        </w:rPr>
        <w:t xml:space="preserve">The </w:t>
      </w:r>
      <w:r w:rsidR="00A1047E">
        <w:rPr>
          <w:rFonts w:ascii="Times New Roman" w:hAnsi="Times New Roman" w:cs="Times New Roman"/>
          <w:sz w:val="24"/>
          <w:szCs w:val="24"/>
          <w:lang w:val="en-US"/>
        </w:rPr>
        <w:t xml:space="preserve">lockdown </w:t>
      </w:r>
      <w:r w:rsidR="00FD437C">
        <w:rPr>
          <w:rFonts w:ascii="Times New Roman" w:hAnsi="Times New Roman" w:cs="Times New Roman"/>
          <w:sz w:val="24"/>
          <w:szCs w:val="24"/>
          <w:lang w:val="en-US"/>
        </w:rPr>
        <w:t xml:space="preserve">policy </w:t>
      </w:r>
      <w:r w:rsidR="00E461D4">
        <w:rPr>
          <w:rFonts w:ascii="Times New Roman" w:hAnsi="Times New Roman" w:cs="Times New Roman"/>
          <w:sz w:val="24"/>
          <w:szCs w:val="24"/>
          <w:lang w:val="en-US"/>
        </w:rPr>
        <w:t xml:space="preserve">was therefore </w:t>
      </w:r>
      <w:r>
        <w:rPr>
          <w:rFonts w:ascii="Times New Roman" w:hAnsi="Times New Roman" w:cs="Times New Roman"/>
          <w:sz w:val="24"/>
          <w:szCs w:val="24"/>
          <w:lang w:val="en-US"/>
        </w:rPr>
        <w:t xml:space="preserve">inconsistent with </w:t>
      </w:r>
      <w:r w:rsidR="009E7A09">
        <w:rPr>
          <w:rFonts w:ascii="Times New Roman" w:hAnsi="Times New Roman" w:cs="Times New Roman"/>
          <w:sz w:val="24"/>
          <w:szCs w:val="24"/>
          <w:lang w:val="en-US"/>
        </w:rPr>
        <w:t xml:space="preserve">generally used values for a </w:t>
      </w:r>
      <w:r w:rsidR="002078E1">
        <w:rPr>
          <w:rFonts w:ascii="Times New Roman" w:hAnsi="Times New Roman" w:cs="Times New Roman"/>
          <w:sz w:val="24"/>
          <w:szCs w:val="24"/>
          <w:lang w:val="en-US"/>
        </w:rPr>
        <w:t>QALY</w:t>
      </w:r>
      <w:r>
        <w:rPr>
          <w:rFonts w:ascii="Times New Roman" w:hAnsi="Times New Roman" w:cs="Times New Roman"/>
          <w:sz w:val="24"/>
          <w:szCs w:val="24"/>
          <w:lang w:val="en-US"/>
        </w:rPr>
        <w:t xml:space="preserve">.  </w:t>
      </w:r>
    </w:p>
    <w:p w:rsidR="002E2EF1" w:rsidRDefault="002E2EF1" w:rsidP="00433A83">
      <w:pPr>
        <w:spacing w:after="0" w:line="360" w:lineRule="auto"/>
        <w:jc w:val="both"/>
        <w:rPr>
          <w:rFonts w:ascii="Times New Roman" w:hAnsi="Times New Roman" w:cs="Times New Roman"/>
          <w:sz w:val="24"/>
          <w:szCs w:val="24"/>
          <w:lang w:val="en-US"/>
        </w:rPr>
      </w:pPr>
    </w:p>
    <w:p w:rsidR="00A201DE" w:rsidRDefault="007E65D8" w:rsidP="00433A8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then considered the implications of information that subsequently became available, most particularly the death rate evidence from </w:t>
      </w:r>
      <w:r w:rsidR="00A34266">
        <w:rPr>
          <w:rFonts w:ascii="Times New Roman" w:hAnsi="Times New Roman" w:cs="Times New Roman"/>
          <w:sz w:val="24"/>
          <w:szCs w:val="24"/>
          <w:lang w:val="en-US"/>
        </w:rPr>
        <w:t>other countries</w:t>
      </w:r>
      <w:r>
        <w:rPr>
          <w:rFonts w:ascii="Times New Roman" w:hAnsi="Times New Roman" w:cs="Times New Roman"/>
          <w:sz w:val="24"/>
          <w:szCs w:val="24"/>
          <w:lang w:val="en-US"/>
        </w:rPr>
        <w:t xml:space="preserve">.  This information reinforced the conclusion that </w:t>
      </w:r>
      <w:r w:rsidR="00AD012D">
        <w:rPr>
          <w:rFonts w:ascii="Times New Roman" w:hAnsi="Times New Roman" w:cs="Times New Roman"/>
          <w:sz w:val="24"/>
          <w:szCs w:val="24"/>
          <w:lang w:val="en-US"/>
        </w:rPr>
        <w:t xml:space="preserve">the </w:t>
      </w:r>
      <w:r w:rsidR="0072607E">
        <w:rPr>
          <w:rFonts w:ascii="Times New Roman" w:hAnsi="Times New Roman" w:cs="Times New Roman"/>
          <w:sz w:val="24"/>
          <w:szCs w:val="24"/>
          <w:lang w:val="en-US"/>
        </w:rPr>
        <w:t xml:space="preserve">March </w:t>
      </w:r>
      <w:r w:rsidR="00A1047E">
        <w:rPr>
          <w:rFonts w:ascii="Times New Roman" w:hAnsi="Times New Roman" w:cs="Times New Roman"/>
          <w:sz w:val="24"/>
          <w:szCs w:val="24"/>
          <w:lang w:val="en-US"/>
        </w:rPr>
        <w:t xml:space="preserve">lockdown </w:t>
      </w:r>
      <w:r>
        <w:rPr>
          <w:rFonts w:ascii="Times New Roman" w:hAnsi="Times New Roman" w:cs="Times New Roman"/>
          <w:sz w:val="24"/>
          <w:szCs w:val="24"/>
          <w:lang w:val="en-US"/>
        </w:rPr>
        <w:t xml:space="preserve">was unwarranted.  </w:t>
      </w:r>
    </w:p>
    <w:p w:rsidR="00A201DE" w:rsidRDefault="00A201DE" w:rsidP="00433A83">
      <w:pPr>
        <w:spacing w:after="0" w:line="360" w:lineRule="auto"/>
        <w:jc w:val="both"/>
        <w:rPr>
          <w:rFonts w:ascii="Times New Roman" w:hAnsi="Times New Roman" w:cs="Times New Roman"/>
          <w:sz w:val="24"/>
          <w:szCs w:val="24"/>
          <w:lang w:val="en-US"/>
        </w:rPr>
      </w:pPr>
    </w:p>
    <w:p w:rsidR="008E2D2A" w:rsidRDefault="00A201DE" w:rsidP="008E2D2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paper then considered the merits of the </w:t>
      </w:r>
      <w:r w:rsidR="00050EA3">
        <w:rPr>
          <w:rFonts w:ascii="Times New Roman" w:hAnsi="Times New Roman" w:cs="Times New Roman"/>
          <w:sz w:val="24"/>
          <w:szCs w:val="24"/>
          <w:lang w:val="en-US"/>
        </w:rPr>
        <w:t xml:space="preserve">subsequent </w:t>
      </w:r>
      <w:r>
        <w:rPr>
          <w:rFonts w:ascii="Times New Roman" w:hAnsi="Times New Roman" w:cs="Times New Roman"/>
          <w:sz w:val="24"/>
          <w:szCs w:val="24"/>
          <w:lang w:val="en-US"/>
        </w:rPr>
        <w:t>Auckland lockdown</w:t>
      </w:r>
      <w:r w:rsidR="00B275B4">
        <w:rPr>
          <w:rFonts w:ascii="Times New Roman" w:hAnsi="Times New Roman" w:cs="Times New Roman"/>
          <w:sz w:val="24"/>
          <w:szCs w:val="24"/>
          <w:lang w:val="en-US"/>
        </w:rPr>
        <w:t xml:space="preserve">.  </w:t>
      </w:r>
      <w:r w:rsidR="008E2D2A">
        <w:rPr>
          <w:rFonts w:ascii="Times New Roman" w:hAnsi="Times New Roman" w:cs="Times New Roman"/>
          <w:sz w:val="24"/>
          <w:szCs w:val="24"/>
          <w:lang w:val="en-US"/>
        </w:rPr>
        <w:t>It is not possible to clearly conclude either way on the merits of this decision</w:t>
      </w:r>
      <w:r w:rsidR="00D60562">
        <w:rPr>
          <w:rFonts w:ascii="Times New Roman" w:hAnsi="Times New Roman" w:cs="Times New Roman"/>
          <w:sz w:val="24"/>
          <w:szCs w:val="24"/>
          <w:lang w:val="en-US"/>
        </w:rPr>
        <w:t>, based upon information available both at the time and subsequently.</w:t>
      </w:r>
    </w:p>
    <w:p w:rsidR="00A201DE" w:rsidRDefault="00A201DE" w:rsidP="00433A83">
      <w:pPr>
        <w:spacing w:after="0" w:line="360" w:lineRule="auto"/>
        <w:jc w:val="both"/>
        <w:rPr>
          <w:rFonts w:ascii="Times New Roman" w:hAnsi="Times New Roman" w:cs="Times New Roman"/>
          <w:sz w:val="24"/>
          <w:szCs w:val="24"/>
          <w:lang w:val="en-US"/>
        </w:rPr>
      </w:pPr>
    </w:p>
    <w:p w:rsidR="008E2D2A" w:rsidRDefault="00D37509" w:rsidP="00616B9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w:t>
      </w:r>
      <w:r w:rsidR="00616B98">
        <w:rPr>
          <w:rFonts w:ascii="Times New Roman" w:hAnsi="Times New Roman" w:cs="Times New Roman"/>
          <w:sz w:val="24"/>
          <w:szCs w:val="24"/>
          <w:lang w:val="en-US"/>
        </w:rPr>
        <w:t xml:space="preserve">in considering the possibility of future outbreaks that could not be contained with only quarantining of cases, lockdowns </w:t>
      </w:r>
      <w:r w:rsidR="00215B4D">
        <w:rPr>
          <w:rFonts w:ascii="Times New Roman" w:hAnsi="Times New Roman" w:cs="Times New Roman"/>
          <w:sz w:val="24"/>
          <w:szCs w:val="24"/>
          <w:lang w:val="en-US"/>
        </w:rPr>
        <w:t xml:space="preserve">might </w:t>
      </w:r>
      <w:r w:rsidR="008E2D2A">
        <w:rPr>
          <w:rFonts w:ascii="Times New Roman" w:hAnsi="Times New Roman" w:cs="Times New Roman"/>
          <w:sz w:val="24"/>
          <w:szCs w:val="24"/>
          <w:lang w:val="en-US"/>
        </w:rPr>
        <w:t xml:space="preserve">be justified if the </w:t>
      </w:r>
      <w:r w:rsidR="000605BA">
        <w:rPr>
          <w:rFonts w:ascii="Times New Roman" w:hAnsi="Times New Roman" w:cs="Times New Roman"/>
          <w:sz w:val="24"/>
          <w:szCs w:val="24"/>
          <w:lang w:val="en-US"/>
        </w:rPr>
        <w:t xml:space="preserve">proportion of the national GDP generated by the region subject to lockdown </w:t>
      </w:r>
      <w:r w:rsidR="008E2D2A">
        <w:rPr>
          <w:rFonts w:ascii="Times New Roman" w:hAnsi="Times New Roman" w:cs="Times New Roman"/>
          <w:sz w:val="24"/>
          <w:szCs w:val="24"/>
          <w:lang w:val="en-US"/>
        </w:rPr>
        <w:t xml:space="preserve">were </w:t>
      </w:r>
      <w:r w:rsidR="00C113D4">
        <w:rPr>
          <w:rFonts w:ascii="Times New Roman" w:hAnsi="Times New Roman" w:cs="Times New Roman"/>
          <w:sz w:val="24"/>
          <w:szCs w:val="24"/>
          <w:lang w:val="en-US"/>
        </w:rPr>
        <w:t xml:space="preserve">sufficiently small (with Auckland </w:t>
      </w:r>
      <w:r w:rsidR="000605BA">
        <w:rPr>
          <w:rFonts w:ascii="Times New Roman" w:hAnsi="Times New Roman" w:cs="Times New Roman"/>
          <w:sz w:val="24"/>
          <w:szCs w:val="24"/>
          <w:lang w:val="en-US"/>
        </w:rPr>
        <w:t xml:space="preserve">currently </w:t>
      </w:r>
      <w:r w:rsidR="00C113D4">
        <w:rPr>
          <w:rFonts w:ascii="Times New Roman" w:hAnsi="Times New Roman" w:cs="Times New Roman"/>
          <w:sz w:val="24"/>
          <w:szCs w:val="24"/>
          <w:lang w:val="en-US"/>
        </w:rPr>
        <w:t xml:space="preserve">being the upper limit) and </w:t>
      </w:r>
      <w:r w:rsidR="0058429A">
        <w:rPr>
          <w:rFonts w:ascii="Times New Roman" w:hAnsi="Times New Roman" w:cs="Times New Roman"/>
          <w:sz w:val="24"/>
          <w:szCs w:val="24"/>
          <w:lang w:val="en-US"/>
        </w:rPr>
        <w:t>the probability of conditions giving rise to a second future lockdown is not high.</w:t>
      </w:r>
      <w:r w:rsidR="008E2D2A">
        <w:rPr>
          <w:rFonts w:ascii="Times New Roman" w:hAnsi="Times New Roman" w:cs="Times New Roman"/>
          <w:sz w:val="24"/>
          <w:szCs w:val="24"/>
          <w:lang w:val="en-US"/>
        </w:rPr>
        <w:t xml:space="preserve">  </w:t>
      </w:r>
      <w:r w:rsidR="000E05BC">
        <w:rPr>
          <w:rFonts w:ascii="Times New Roman" w:hAnsi="Times New Roman" w:cs="Times New Roman"/>
          <w:sz w:val="24"/>
          <w:szCs w:val="24"/>
          <w:lang w:val="en-US"/>
        </w:rPr>
        <w:t>As we move closer to the mass vaccination point in time, this proportion goes to zero.</w:t>
      </w:r>
    </w:p>
    <w:p w:rsidR="0052397F" w:rsidRDefault="0052397F" w:rsidP="0052397F">
      <w:pPr>
        <w:spacing w:after="0" w:line="360" w:lineRule="auto"/>
        <w:jc w:val="both"/>
        <w:rPr>
          <w:rFonts w:ascii="Times New Roman" w:hAnsi="Times New Roman" w:cs="Times New Roman"/>
          <w:sz w:val="24"/>
          <w:szCs w:val="24"/>
          <w:lang w:val="en-US"/>
        </w:rPr>
      </w:pPr>
    </w:p>
    <w:p w:rsidR="00804186" w:rsidRDefault="00E162C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04186" w:rsidRDefault="00804186" w:rsidP="00433A83">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APPENDIX 1</w:t>
      </w:r>
    </w:p>
    <w:p w:rsidR="00804186" w:rsidRDefault="00804186" w:rsidP="00804186">
      <w:pPr>
        <w:spacing w:after="0" w:line="360" w:lineRule="auto"/>
        <w:jc w:val="both"/>
        <w:rPr>
          <w:rFonts w:ascii="Times New Roman" w:hAnsi="Times New Roman" w:cs="Times New Roman"/>
          <w:sz w:val="24"/>
          <w:szCs w:val="24"/>
          <w:lang w:val="en-US"/>
        </w:rPr>
      </w:pPr>
    </w:p>
    <w:p w:rsidR="004764B4" w:rsidRDefault="00804186"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Appendix </w:t>
      </w:r>
      <w:r w:rsidR="004764B4">
        <w:rPr>
          <w:rFonts w:ascii="Times New Roman" w:hAnsi="Times New Roman" w:cs="Times New Roman"/>
          <w:sz w:val="24"/>
          <w:szCs w:val="24"/>
          <w:lang w:val="en-US"/>
        </w:rPr>
        <w:t xml:space="preserve">further examines data on </w:t>
      </w:r>
      <w:r>
        <w:rPr>
          <w:rFonts w:ascii="Times New Roman" w:hAnsi="Times New Roman" w:cs="Times New Roman"/>
          <w:sz w:val="24"/>
          <w:szCs w:val="24"/>
          <w:lang w:val="en-US"/>
        </w:rPr>
        <w:t>death rates across countries that did and did not lockdown.  Given the actual or probable unreliability of data from many countries, it is desirable to limit the analysis to countries for which the data is likely to be very reliable.  It is also desirable to eliminate countries with federal systems, in which restrictions would vary by state or province.  This leaves European countries and the East Asian democracies (Japan, South Korea, Taiwan, Singapore, plus Hong Kong).  Hale et al (2020) have constructed a set of indexes, which assign a daily score to each country for the severity of their restrictions imposed by government, ranging from 0 to 100 and taking account of different types of restrictions.  I use their Stringency Index, which takes account of 8 different types of government restrictions, and use the maximum rating for each country assigned during the crisis.</w:t>
      </w:r>
      <w:r>
        <w:rPr>
          <w:rStyle w:val="FootnoteReference"/>
          <w:rFonts w:ascii="Times New Roman" w:hAnsi="Times New Roman" w:cs="Times New Roman"/>
          <w:sz w:val="24"/>
          <w:szCs w:val="24"/>
          <w:lang w:val="en-US"/>
        </w:rPr>
        <w:footnoteReference w:id="31"/>
      </w:r>
      <w:r>
        <w:rPr>
          <w:rFonts w:ascii="Times New Roman" w:hAnsi="Times New Roman" w:cs="Times New Roman"/>
          <w:sz w:val="24"/>
          <w:szCs w:val="24"/>
          <w:lang w:val="en-US"/>
        </w:rPr>
        <w:t xml:space="preserve">  Death rates per 1m of population are drawn from the previously mentioned source.  All five East Asian countries have very low death rates regardless of the severity of restrictions, and the likely rea</w:t>
      </w:r>
      <w:r w:rsidR="008C4D09">
        <w:rPr>
          <w:rFonts w:ascii="Times New Roman" w:hAnsi="Times New Roman" w:cs="Times New Roman"/>
          <w:sz w:val="24"/>
          <w:szCs w:val="24"/>
          <w:lang w:val="en-US"/>
        </w:rPr>
        <w:t>sons (a culture of mask wearing</w:t>
      </w:r>
      <w:r>
        <w:rPr>
          <w:rFonts w:ascii="Times New Roman" w:hAnsi="Times New Roman" w:cs="Times New Roman"/>
          <w:sz w:val="24"/>
          <w:szCs w:val="24"/>
          <w:lang w:val="en-US"/>
        </w:rPr>
        <w:t xml:space="preserve">, not shaking hands, </w:t>
      </w:r>
      <w:r w:rsidR="00003651">
        <w:rPr>
          <w:rFonts w:ascii="Times New Roman" w:hAnsi="Times New Roman" w:cs="Times New Roman"/>
          <w:sz w:val="24"/>
          <w:szCs w:val="24"/>
          <w:lang w:val="en-US"/>
        </w:rPr>
        <w:t xml:space="preserve">compliance with government directives, </w:t>
      </w:r>
      <w:r w:rsidR="00BB3DC1">
        <w:rPr>
          <w:rFonts w:ascii="Times New Roman" w:hAnsi="Times New Roman" w:cs="Times New Roman"/>
          <w:sz w:val="24"/>
          <w:szCs w:val="24"/>
          <w:lang w:val="en-US"/>
        </w:rPr>
        <w:t xml:space="preserve">extensive </w:t>
      </w:r>
      <w:r>
        <w:rPr>
          <w:rFonts w:ascii="Times New Roman" w:hAnsi="Times New Roman" w:cs="Times New Roman"/>
          <w:sz w:val="24"/>
          <w:szCs w:val="24"/>
          <w:lang w:val="en-US"/>
        </w:rPr>
        <w:t xml:space="preserve">contact tracing and testing,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xml:space="preserve">) are </w:t>
      </w:r>
      <w:r w:rsidR="00BB3DC1">
        <w:rPr>
          <w:rFonts w:ascii="Times New Roman" w:hAnsi="Times New Roman" w:cs="Times New Roman"/>
          <w:sz w:val="24"/>
          <w:szCs w:val="24"/>
          <w:lang w:val="en-US"/>
        </w:rPr>
        <w:t xml:space="preserve">or were not </w:t>
      </w:r>
      <w:r>
        <w:rPr>
          <w:rFonts w:ascii="Times New Roman" w:hAnsi="Times New Roman" w:cs="Times New Roman"/>
          <w:sz w:val="24"/>
          <w:szCs w:val="24"/>
          <w:lang w:val="en-US"/>
        </w:rPr>
        <w:t>applicable to the same degree in New Zealand.  So, I use only the European countries, of which there are 33.  They are similar (on average) to New Zealand in ethnicity, cultural norms, demographics, GDP per capita, and the quality of their health care systems.</w:t>
      </w:r>
      <w:r w:rsidR="00623E81">
        <w:rPr>
          <w:rStyle w:val="FootnoteReference"/>
          <w:rFonts w:ascii="Times New Roman" w:hAnsi="Times New Roman" w:cs="Times New Roman"/>
          <w:sz w:val="24"/>
          <w:szCs w:val="24"/>
          <w:lang w:val="en-US"/>
        </w:rPr>
        <w:footnoteReference w:id="32"/>
      </w:r>
      <w:r>
        <w:rPr>
          <w:rFonts w:ascii="Times New Roman" w:hAnsi="Times New Roman" w:cs="Times New Roman"/>
          <w:sz w:val="24"/>
          <w:szCs w:val="24"/>
          <w:lang w:val="en-US"/>
        </w:rPr>
        <w:t xml:space="preserve">  </w:t>
      </w:r>
    </w:p>
    <w:p w:rsidR="004764B4" w:rsidRDefault="004764B4" w:rsidP="00804186">
      <w:pPr>
        <w:spacing w:after="0" w:line="360" w:lineRule="auto"/>
        <w:jc w:val="both"/>
        <w:rPr>
          <w:rFonts w:ascii="Times New Roman" w:hAnsi="Times New Roman" w:cs="Times New Roman"/>
          <w:sz w:val="24"/>
          <w:szCs w:val="24"/>
          <w:lang w:val="en-US"/>
        </w:rPr>
      </w:pPr>
    </w:p>
    <w:p w:rsidR="004764B4" w:rsidRDefault="004764B4"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Unlike Gibson (2020), I use the maximum index value rather than the average.  This avoids the difficulties in choosing a starting date for the averaging.  Gibson uses </w:t>
      </w:r>
      <w:r w:rsidR="00D22CF1">
        <w:rPr>
          <w:rFonts w:ascii="Times New Roman" w:hAnsi="Times New Roman" w:cs="Times New Roman"/>
          <w:sz w:val="24"/>
          <w:szCs w:val="24"/>
          <w:lang w:val="en-US"/>
        </w:rPr>
        <w:t xml:space="preserve">the same date for </w:t>
      </w:r>
      <w:r>
        <w:rPr>
          <w:rFonts w:ascii="Times New Roman" w:hAnsi="Times New Roman" w:cs="Times New Roman"/>
          <w:sz w:val="24"/>
          <w:szCs w:val="24"/>
          <w:lang w:val="en-US"/>
        </w:rPr>
        <w:t xml:space="preserve">all countries </w:t>
      </w:r>
      <w:r w:rsidR="00D22CF1">
        <w:rPr>
          <w:rFonts w:ascii="Times New Roman" w:hAnsi="Times New Roman" w:cs="Times New Roman"/>
          <w:sz w:val="24"/>
          <w:szCs w:val="24"/>
          <w:lang w:val="en-US"/>
        </w:rPr>
        <w:t xml:space="preserve">(7 January) </w:t>
      </w:r>
      <w:r>
        <w:rPr>
          <w:rFonts w:ascii="Times New Roman" w:hAnsi="Times New Roman" w:cs="Times New Roman"/>
          <w:sz w:val="24"/>
          <w:szCs w:val="24"/>
          <w:lang w:val="en-US"/>
        </w:rPr>
        <w:t>but the first cases appeared in countries at different times</w:t>
      </w:r>
      <w:r w:rsidR="00715046">
        <w:rPr>
          <w:rFonts w:ascii="Times New Roman" w:hAnsi="Times New Roman" w:cs="Times New Roman"/>
          <w:sz w:val="24"/>
          <w:szCs w:val="24"/>
          <w:lang w:val="en-US"/>
        </w:rPr>
        <w:t>, which will produce lower average index values in countries that were hit later</w:t>
      </w:r>
      <w:r w:rsidR="007E0786">
        <w:rPr>
          <w:rFonts w:ascii="Times New Roman" w:hAnsi="Times New Roman" w:cs="Times New Roman"/>
          <w:sz w:val="24"/>
          <w:szCs w:val="24"/>
          <w:lang w:val="en-US"/>
        </w:rPr>
        <w:t xml:space="preserve"> rather even if their true policy response was equally stringent</w:t>
      </w:r>
      <w:r>
        <w:rPr>
          <w:rFonts w:ascii="Times New Roman" w:hAnsi="Times New Roman" w:cs="Times New Roman"/>
          <w:sz w:val="24"/>
          <w:szCs w:val="24"/>
          <w:lang w:val="en-US"/>
        </w:rPr>
        <w:t xml:space="preserve">.  </w:t>
      </w:r>
      <w:r w:rsidR="00715046">
        <w:rPr>
          <w:rFonts w:ascii="Times New Roman" w:hAnsi="Times New Roman" w:cs="Times New Roman"/>
          <w:sz w:val="24"/>
          <w:szCs w:val="24"/>
          <w:lang w:val="en-US"/>
        </w:rPr>
        <w:t xml:space="preserve">Use of the maximum value </w:t>
      </w:r>
      <w:r>
        <w:rPr>
          <w:rFonts w:ascii="Times New Roman" w:hAnsi="Times New Roman" w:cs="Times New Roman"/>
          <w:sz w:val="24"/>
          <w:szCs w:val="24"/>
          <w:lang w:val="en-US"/>
        </w:rPr>
        <w:t xml:space="preserve">also avoids the problem that the average </w:t>
      </w:r>
      <w:r w:rsidR="00964714">
        <w:rPr>
          <w:rFonts w:ascii="Times New Roman" w:hAnsi="Times New Roman" w:cs="Times New Roman"/>
          <w:sz w:val="24"/>
          <w:szCs w:val="24"/>
          <w:lang w:val="en-US"/>
        </w:rPr>
        <w:t xml:space="preserve">over the entire crisis period </w:t>
      </w:r>
      <w:r>
        <w:rPr>
          <w:rFonts w:ascii="Times New Roman" w:hAnsi="Times New Roman" w:cs="Times New Roman"/>
          <w:sz w:val="24"/>
          <w:szCs w:val="24"/>
          <w:lang w:val="en-US"/>
        </w:rPr>
        <w:t xml:space="preserve">is affected by the post-peak </w:t>
      </w:r>
      <w:r w:rsidR="00715046">
        <w:rPr>
          <w:rFonts w:ascii="Times New Roman" w:hAnsi="Times New Roman" w:cs="Times New Roman"/>
          <w:sz w:val="24"/>
          <w:szCs w:val="24"/>
          <w:lang w:val="en-US"/>
        </w:rPr>
        <w:t xml:space="preserve">death rate </w:t>
      </w:r>
      <w:r>
        <w:rPr>
          <w:rFonts w:ascii="Times New Roman" w:hAnsi="Times New Roman" w:cs="Times New Roman"/>
          <w:sz w:val="24"/>
          <w:szCs w:val="24"/>
          <w:lang w:val="en-US"/>
        </w:rPr>
        <w:t xml:space="preserve">reductions in the index, which are likely to have been affected by the death rate </w:t>
      </w:r>
      <w:r w:rsidR="00715046">
        <w:rPr>
          <w:rFonts w:ascii="Times New Roman" w:hAnsi="Times New Roman" w:cs="Times New Roman"/>
          <w:sz w:val="24"/>
          <w:szCs w:val="24"/>
          <w:lang w:val="en-US"/>
        </w:rPr>
        <w:t xml:space="preserve">(up to that point) </w:t>
      </w:r>
      <w:r>
        <w:rPr>
          <w:rFonts w:ascii="Times New Roman" w:hAnsi="Times New Roman" w:cs="Times New Roman"/>
          <w:sz w:val="24"/>
          <w:szCs w:val="24"/>
          <w:lang w:val="en-US"/>
        </w:rPr>
        <w:t>as well as having contributed to it</w:t>
      </w:r>
      <w:r w:rsidR="00715046">
        <w:rPr>
          <w:rFonts w:ascii="Times New Roman" w:hAnsi="Times New Roman" w:cs="Times New Roman"/>
          <w:sz w:val="24"/>
          <w:szCs w:val="24"/>
          <w:lang w:val="en-US"/>
        </w:rPr>
        <w:t xml:space="preserve"> (beyond that point)</w:t>
      </w:r>
      <w:r w:rsidR="00964714">
        <w:rPr>
          <w:rFonts w:ascii="Times New Roman" w:hAnsi="Times New Roman" w:cs="Times New Roman"/>
          <w:sz w:val="24"/>
          <w:szCs w:val="24"/>
          <w:lang w:val="en-US"/>
        </w:rPr>
        <w:t>.  This yields a reverse causality problem.</w:t>
      </w:r>
      <w:r w:rsidR="007F165B">
        <w:rPr>
          <w:rFonts w:ascii="Times New Roman" w:hAnsi="Times New Roman" w:cs="Times New Roman"/>
          <w:sz w:val="24"/>
          <w:szCs w:val="24"/>
          <w:lang w:val="en-US"/>
        </w:rPr>
        <w:t xml:space="preserve">  An extreme case of this problem would arise if one country adopted its maximum stringency </w:t>
      </w:r>
      <w:r w:rsidR="007F165B">
        <w:rPr>
          <w:rFonts w:ascii="Times New Roman" w:hAnsi="Times New Roman" w:cs="Times New Roman"/>
          <w:sz w:val="24"/>
          <w:szCs w:val="24"/>
          <w:lang w:val="en-US"/>
        </w:rPr>
        <w:lastRenderedPageBreak/>
        <w:t>value of 100 on the first day, retained it for six weeks and then removed all restrictions because eradication had been achieved, whilst a second country imposed a stringency of 50 throughout the 12 weeks of the analysis.  Both would have an average Stringency of 50, but would embo</w:t>
      </w:r>
      <w:r w:rsidR="00A76034">
        <w:rPr>
          <w:rFonts w:ascii="Times New Roman" w:hAnsi="Times New Roman" w:cs="Times New Roman"/>
          <w:sz w:val="24"/>
          <w:szCs w:val="24"/>
          <w:lang w:val="en-US"/>
        </w:rPr>
        <w:t>dy entirely different policies</w:t>
      </w:r>
      <w:r w:rsidR="007F165B">
        <w:rPr>
          <w:rFonts w:ascii="Times New Roman" w:hAnsi="Times New Roman" w:cs="Times New Roman"/>
          <w:sz w:val="24"/>
          <w:szCs w:val="24"/>
          <w:lang w:val="en-US"/>
        </w:rPr>
        <w:t>.</w:t>
      </w:r>
    </w:p>
    <w:p w:rsidR="00804186" w:rsidRDefault="00804186" w:rsidP="00804186">
      <w:pPr>
        <w:spacing w:after="0" w:line="360" w:lineRule="auto"/>
        <w:jc w:val="both"/>
        <w:rPr>
          <w:rFonts w:ascii="Times New Roman" w:hAnsi="Times New Roman" w:cs="Times New Roman"/>
          <w:sz w:val="24"/>
          <w:szCs w:val="24"/>
          <w:lang w:val="en-US"/>
        </w:rPr>
      </w:pPr>
    </w:p>
    <w:p w:rsidR="00804186" w:rsidRDefault="00804186"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Death rates are likely to be affected by many variables other than government restrictions, and it is desirable to include them.  I consider </w:t>
      </w:r>
    </w:p>
    <w:p w:rsidR="00804186" w:rsidRDefault="00804186" w:rsidP="00804186">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 xml:space="preserve">population density (higher values increase the transmission rate of the virus), </w:t>
      </w:r>
    </w:p>
    <w:p w:rsidR="00804186" w:rsidRDefault="00804186" w:rsidP="00804186">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the date of the first death (in days after the first recorded death on 15 February in France</w:t>
      </w:r>
      <w:r w:rsidR="006C25BB">
        <w:rPr>
          <w:rFonts w:ascii="Times New Roman" w:hAnsi="Times New Roman" w:cs="Times New Roman"/>
          <w:sz w:val="24"/>
          <w:szCs w:val="24"/>
          <w:lang w:val="en-US"/>
        </w:rPr>
        <w:t>)</w:t>
      </w:r>
      <w:r w:rsidRPr="00C625C3">
        <w:rPr>
          <w:rFonts w:ascii="Times New Roman" w:hAnsi="Times New Roman" w:cs="Times New Roman"/>
          <w:sz w:val="24"/>
          <w:szCs w:val="24"/>
          <w:lang w:val="en-US"/>
        </w:rPr>
        <w:t>, because later dates provide more time for people, doctors and their governments to learn from o</w:t>
      </w:r>
      <w:r w:rsidR="006C25BB">
        <w:rPr>
          <w:rFonts w:ascii="Times New Roman" w:hAnsi="Times New Roman" w:cs="Times New Roman"/>
          <w:sz w:val="24"/>
          <w:szCs w:val="24"/>
          <w:lang w:val="en-US"/>
        </w:rPr>
        <w:t>thers and adjust their behavior</w:t>
      </w:r>
      <w:r w:rsidRPr="00C625C3">
        <w:rPr>
          <w:rFonts w:ascii="Times New Roman" w:hAnsi="Times New Roman" w:cs="Times New Roman"/>
          <w:sz w:val="24"/>
          <w:szCs w:val="24"/>
          <w:lang w:val="en-US"/>
        </w:rPr>
        <w:t xml:space="preserve">, </w:t>
      </w:r>
    </w:p>
    <w:p w:rsidR="00804186" w:rsidRDefault="00804186" w:rsidP="00804186">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population (higher values provide a higher pool of virus targets before national borders constrict the movement of people and therefore the transmission of the virus),</w:t>
      </w:r>
    </w:p>
    <w:p w:rsidR="00804186" w:rsidRDefault="00804186" w:rsidP="00804186">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 xml:space="preserve">GDP per capita (as a proxy for the quality of the health care system), </w:t>
      </w:r>
    </w:p>
    <w:p w:rsidR="00804186" w:rsidRDefault="00804186" w:rsidP="00804186">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 xml:space="preserve">the population proportion over 65 (higher values imply a larger proportion of the population in the high risk group), </w:t>
      </w:r>
    </w:p>
    <w:p w:rsidR="00804186" w:rsidRDefault="00804186" w:rsidP="00804186">
      <w:pPr>
        <w:pStyle w:val="ListParagraph"/>
        <w:numPr>
          <w:ilvl w:val="0"/>
          <w:numId w:val="3"/>
        </w:numPr>
        <w:spacing w:after="0" w:line="360" w:lineRule="auto"/>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 xml:space="preserve">the average household size (higher values increase the pool of virus targets before household borders restrict interactions and therefore the transmission of the virus), and </w:t>
      </w:r>
    </w:p>
    <w:p w:rsidR="009713FB" w:rsidRDefault="00804186" w:rsidP="00804186">
      <w:pPr>
        <w:pStyle w:val="ListParagraph"/>
        <w:numPr>
          <w:ilvl w:val="0"/>
          <w:numId w:val="3"/>
        </w:numPr>
        <w:spacing w:after="0" w:line="360" w:lineRule="auto"/>
        <w:jc w:val="both"/>
        <w:rPr>
          <w:rFonts w:ascii="Times New Roman" w:hAnsi="Times New Roman" w:cs="Times New Roman"/>
          <w:sz w:val="24"/>
          <w:szCs w:val="24"/>
          <w:lang w:val="en-US"/>
        </w:rPr>
      </w:pPr>
      <w:proofErr w:type="gramStart"/>
      <w:r w:rsidRPr="00C625C3">
        <w:rPr>
          <w:rFonts w:ascii="Times New Roman" w:hAnsi="Times New Roman" w:cs="Times New Roman"/>
          <w:sz w:val="24"/>
          <w:szCs w:val="24"/>
          <w:lang w:val="en-US"/>
        </w:rPr>
        <w:t>the</w:t>
      </w:r>
      <w:proofErr w:type="gramEnd"/>
      <w:r w:rsidRPr="00C625C3">
        <w:rPr>
          <w:rFonts w:ascii="Times New Roman" w:hAnsi="Times New Roman" w:cs="Times New Roman"/>
          <w:sz w:val="24"/>
          <w:szCs w:val="24"/>
          <w:lang w:val="en-US"/>
        </w:rPr>
        <w:t xml:space="preserve"> number of nursing and elderly home beds per 100,000 of population (because </w:t>
      </w:r>
      <w:r>
        <w:rPr>
          <w:rFonts w:ascii="Times New Roman" w:hAnsi="Times New Roman" w:cs="Times New Roman"/>
          <w:sz w:val="24"/>
          <w:szCs w:val="24"/>
          <w:lang w:val="en-US"/>
        </w:rPr>
        <w:t>higher values implies a higher concentration in the high-risk group</w:t>
      </w:r>
      <w:r w:rsidRPr="00C625C3">
        <w:rPr>
          <w:rFonts w:ascii="Times New Roman" w:hAnsi="Times New Roman" w:cs="Times New Roman"/>
          <w:sz w:val="24"/>
          <w:szCs w:val="24"/>
          <w:lang w:val="en-US"/>
        </w:rPr>
        <w:t>, which increases or lowers the death rate depending upon the effectiveness of the quarantine procedures).</w:t>
      </w:r>
    </w:p>
    <w:p w:rsidR="00804186" w:rsidRDefault="009713FB" w:rsidP="00804186">
      <w:pPr>
        <w:pStyle w:val="ListParagraph"/>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Flu intensity in </w:t>
      </w:r>
      <w:r w:rsidR="00755A19">
        <w:rPr>
          <w:rFonts w:ascii="Times New Roman" w:hAnsi="Times New Roman" w:cs="Times New Roman"/>
          <w:sz w:val="24"/>
          <w:szCs w:val="24"/>
          <w:lang w:val="en-US"/>
        </w:rPr>
        <w:t xml:space="preserve">the </w:t>
      </w:r>
      <w:r>
        <w:rPr>
          <w:rFonts w:ascii="Times New Roman" w:hAnsi="Times New Roman" w:cs="Times New Roman"/>
          <w:sz w:val="24"/>
          <w:szCs w:val="24"/>
          <w:lang w:val="en-US"/>
        </w:rPr>
        <w:t>last two flu seasons.</w:t>
      </w:r>
      <w:r w:rsidR="00804186">
        <w:rPr>
          <w:rStyle w:val="FootnoteReference"/>
          <w:rFonts w:ascii="Times New Roman" w:hAnsi="Times New Roman" w:cs="Times New Roman"/>
          <w:sz w:val="24"/>
          <w:szCs w:val="24"/>
          <w:lang w:val="en-US"/>
        </w:rPr>
        <w:footnoteReference w:id="33"/>
      </w:r>
      <w:r w:rsidR="00804186" w:rsidRPr="00C625C3">
        <w:rPr>
          <w:rFonts w:ascii="Times New Roman" w:hAnsi="Times New Roman" w:cs="Times New Roman"/>
          <w:sz w:val="24"/>
          <w:szCs w:val="24"/>
          <w:lang w:val="en-US"/>
        </w:rPr>
        <w:t xml:space="preserve">  </w:t>
      </w:r>
    </w:p>
    <w:p w:rsidR="00804186" w:rsidRDefault="00804186" w:rsidP="00826DDE">
      <w:pPr>
        <w:pStyle w:val="ListParagraph"/>
        <w:spacing w:after="0" w:line="360" w:lineRule="auto"/>
        <w:ind w:left="0"/>
        <w:jc w:val="both"/>
        <w:rPr>
          <w:rFonts w:ascii="Times New Roman" w:hAnsi="Times New Roman" w:cs="Times New Roman"/>
          <w:sz w:val="24"/>
          <w:szCs w:val="24"/>
          <w:lang w:val="en-US"/>
        </w:rPr>
      </w:pPr>
      <w:r w:rsidRPr="00C625C3">
        <w:rPr>
          <w:rFonts w:ascii="Times New Roman" w:hAnsi="Times New Roman" w:cs="Times New Roman"/>
          <w:sz w:val="24"/>
          <w:szCs w:val="24"/>
          <w:lang w:val="en-US"/>
        </w:rPr>
        <w:t>The first two variables are statistically significant, and sub</w:t>
      </w:r>
      <w:r w:rsidR="00404A73">
        <w:rPr>
          <w:rFonts w:ascii="Times New Roman" w:hAnsi="Times New Roman" w:cs="Times New Roman"/>
          <w:sz w:val="24"/>
          <w:szCs w:val="24"/>
          <w:lang w:val="en-US"/>
        </w:rPr>
        <w:t xml:space="preserve">stantially raise the </w:t>
      </w:r>
      <w:proofErr w:type="gramStart"/>
      <w:r w:rsidR="00404A73">
        <w:rPr>
          <w:rFonts w:ascii="Times New Roman" w:hAnsi="Times New Roman" w:cs="Times New Roman"/>
          <w:sz w:val="24"/>
          <w:szCs w:val="24"/>
          <w:lang w:val="en-US"/>
        </w:rPr>
        <w:t xml:space="preserve">adjusted </w:t>
      </w:r>
      <w:proofErr w:type="gramEnd"/>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sidRPr="00C625C3">
        <w:rPr>
          <w:rFonts w:ascii="Times New Roman" w:hAnsi="Times New Roman" w:cs="Times New Roman"/>
          <w:sz w:val="24"/>
          <w:szCs w:val="24"/>
          <w:lang w:val="en-US"/>
        </w:rPr>
        <w:t xml:space="preserve">, whilst the last five variables (added and tested separately) are not statistically significant and </w:t>
      </w:r>
      <w:r w:rsidRPr="00C625C3">
        <w:rPr>
          <w:rFonts w:ascii="Times New Roman" w:hAnsi="Times New Roman" w:cs="Times New Roman"/>
          <w:sz w:val="24"/>
          <w:szCs w:val="24"/>
          <w:lang w:val="en-US"/>
        </w:rPr>
        <w:lastRenderedPageBreak/>
        <w:t>their inclu</w:t>
      </w:r>
      <w:r w:rsidR="00404A73">
        <w:rPr>
          <w:rFonts w:ascii="Times New Roman" w:hAnsi="Times New Roman" w:cs="Times New Roman"/>
          <w:sz w:val="24"/>
          <w:szCs w:val="24"/>
          <w:lang w:val="en-US"/>
        </w:rPr>
        <w:t xml:space="preserve">sion each lowers the adjusted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sidRPr="00C625C3">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4"/>
      </w:r>
      <w:r w:rsidRPr="00C625C3">
        <w:rPr>
          <w:rFonts w:ascii="Times New Roman" w:hAnsi="Times New Roman" w:cs="Times New Roman"/>
          <w:sz w:val="24"/>
          <w:szCs w:val="24"/>
          <w:lang w:val="en-US"/>
        </w:rPr>
        <w:t xml:space="preserve">  I therefore retain only the first two variables.  </w:t>
      </w:r>
      <w:r w:rsidR="00A809CE">
        <w:rPr>
          <w:rFonts w:ascii="Times New Roman" w:hAnsi="Times New Roman" w:cs="Times New Roman"/>
          <w:sz w:val="24"/>
          <w:szCs w:val="24"/>
          <w:lang w:val="en-US"/>
        </w:rPr>
        <w:t xml:space="preserve">The data are shown in Appendix 2.  Regressing the </w:t>
      </w:r>
      <w:r w:rsidRPr="00C625C3">
        <w:rPr>
          <w:rFonts w:ascii="Times New Roman" w:hAnsi="Times New Roman" w:cs="Times New Roman"/>
          <w:sz w:val="24"/>
          <w:szCs w:val="24"/>
          <w:lang w:val="en-US"/>
        </w:rPr>
        <w:t>death rate per 1m (</w:t>
      </w:r>
      <w:r w:rsidRPr="00C625C3">
        <w:rPr>
          <w:rFonts w:ascii="Times New Roman" w:hAnsi="Times New Roman" w:cs="Times New Roman"/>
          <w:i/>
          <w:sz w:val="24"/>
          <w:szCs w:val="24"/>
          <w:lang w:val="en-US"/>
        </w:rPr>
        <w:t>D</w:t>
      </w:r>
      <w:r w:rsidRPr="00C625C3">
        <w:rPr>
          <w:rFonts w:ascii="Times New Roman" w:hAnsi="Times New Roman" w:cs="Times New Roman"/>
          <w:sz w:val="24"/>
          <w:szCs w:val="24"/>
          <w:lang w:val="en-US"/>
        </w:rPr>
        <w:t xml:space="preserve">) </w:t>
      </w:r>
      <w:r w:rsidR="000666CB">
        <w:rPr>
          <w:rFonts w:ascii="Times New Roman" w:hAnsi="Times New Roman" w:cs="Times New Roman"/>
          <w:sz w:val="24"/>
          <w:szCs w:val="24"/>
          <w:lang w:val="en-US"/>
        </w:rPr>
        <w:t xml:space="preserve">up to 22 August </w:t>
      </w:r>
      <w:r w:rsidRPr="00C625C3">
        <w:rPr>
          <w:rFonts w:ascii="Times New Roman" w:hAnsi="Times New Roman" w:cs="Times New Roman"/>
          <w:sz w:val="24"/>
          <w:szCs w:val="24"/>
          <w:lang w:val="en-US"/>
        </w:rPr>
        <w:t>on the maximum Stringency Index value (</w:t>
      </w:r>
      <w:r w:rsidRPr="00C625C3">
        <w:rPr>
          <w:rFonts w:ascii="Times New Roman" w:hAnsi="Times New Roman" w:cs="Times New Roman"/>
          <w:i/>
          <w:sz w:val="24"/>
          <w:szCs w:val="24"/>
          <w:lang w:val="en-US"/>
        </w:rPr>
        <w:t>S</w:t>
      </w:r>
      <w:r w:rsidRPr="00C625C3">
        <w:rPr>
          <w:rFonts w:ascii="Times New Roman" w:hAnsi="Times New Roman" w:cs="Times New Roman"/>
          <w:sz w:val="24"/>
          <w:szCs w:val="24"/>
          <w:lang w:val="en-US"/>
        </w:rPr>
        <w:t>), the population density (</w:t>
      </w:r>
      <w:r w:rsidRPr="00C625C3">
        <w:rPr>
          <w:rFonts w:ascii="Times New Roman" w:hAnsi="Times New Roman" w:cs="Times New Roman"/>
          <w:i/>
          <w:sz w:val="24"/>
          <w:szCs w:val="24"/>
          <w:lang w:val="en-US"/>
        </w:rPr>
        <w:t>PD</w:t>
      </w:r>
      <w:r w:rsidRPr="00C625C3">
        <w:rPr>
          <w:rFonts w:ascii="Times New Roman" w:hAnsi="Times New Roman" w:cs="Times New Roman"/>
          <w:sz w:val="24"/>
          <w:szCs w:val="24"/>
          <w:lang w:val="en-US"/>
        </w:rPr>
        <w:t>, in millions per 1,000 square miles), and date of first death (</w:t>
      </w:r>
      <w:r w:rsidRPr="00C625C3">
        <w:rPr>
          <w:rFonts w:ascii="Times New Roman" w:hAnsi="Times New Roman" w:cs="Times New Roman"/>
          <w:i/>
          <w:sz w:val="24"/>
          <w:szCs w:val="24"/>
          <w:lang w:val="en-US"/>
        </w:rPr>
        <w:t>FD</w:t>
      </w:r>
      <w:r w:rsidRPr="00C625C3">
        <w:rPr>
          <w:rFonts w:ascii="Times New Roman" w:hAnsi="Times New Roman" w:cs="Times New Roman"/>
          <w:sz w:val="24"/>
          <w:szCs w:val="24"/>
          <w:lang w:val="en-US"/>
        </w:rPr>
        <w:t>, in days from 15 Februar</w:t>
      </w:r>
      <w:r w:rsidR="00826DDE">
        <w:rPr>
          <w:rFonts w:ascii="Times New Roman" w:hAnsi="Times New Roman" w:cs="Times New Roman"/>
          <w:sz w:val="24"/>
          <w:szCs w:val="24"/>
          <w:lang w:val="en-US"/>
        </w:rPr>
        <w:t>y) yields the following result:</w:t>
      </w:r>
    </w:p>
    <w:p w:rsidR="00804186" w:rsidRDefault="00804186" w:rsidP="00804186">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D=569.3-1.65S+299.7PD-11.9FD                                     (10)</m:t>
          </m:r>
        </m:oMath>
      </m:oMathPara>
    </w:p>
    <w:p w:rsidR="00804186" w:rsidRDefault="00804186" w:rsidP="00804186">
      <w:pPr>
        <w:spacing w:after="0" w:line="360" w:lineRule="auto"/>
        <w:jc w:val="center"/>
        <w:rPr>
          <w:rFonts w:ascii="Times New Roman" w:hAnsi="Times New Roman" w:cs="Times New Roman"/>
          <w:sz w:val="24"/>
          <w:szCs w:val="24"/>
          <w:lang w:val="en-US"/>
        </w:rPr>
      </w:pPr>
    </w:p>
    <w:p w:rsidR="00804186" w:rsidRDefault="00404A73" w:rsidP="00804186">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The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sidR="00F616E6">
        <w:rPr>
          <w:rFonts w:ascii="Times New Roman" w:hAnsi="Times New Roman" w:cs="Times New Roman"/>
          <w:sz w:val="24"/>
          <w:szCs w:val="24"/>
          <w:lang w:val="en-US"/>
        </w:rPr>
        <w:t xml:space="preserve"> is</w:t>
      </w:r>
      <w:proofErr w:type="gramEnd"/>
      <w:r w:rsidR="00F616E6">
        <w:rPr>
          <w:rFonts w:ascii="Times New Roman" w:hAnsi="Times New Roman" w:cs="Times New Roman"/>
          <w:sz w:val="24"/>
          <w:szCs w:val="24"/>
          <w:lang w:val="en-US"/>
        </w:rPr>
        <w:t xml:space="preserve"> a respectable 0.49</w:t>
      </w:r>
      <w:r w:rsidR="00050EA3">
        <w:rPr>
          <w:rFonts w:ascii="Times New Roman" w:hAnsi="Times New Roman" w:cs="Times New Roman"/>
          <w:sz w:val="24"/>
          <w:szCs w:val="24"/>
          <w:lang w:val="en-US"/>
        </w:rPr>
        <w:t xml:space="preserve">, </w:t>
      </w:r>
      <w:r w:rsidR="00804186">
        <w:rPr>
          <w:rFonts w:ascii="Times New Roman" w:hAnsi="Times New Roman" w:cs="Times New Roman"/>
          <w:sz w:val="24"/>
          <w:szCs w:val="24"/>
          <w:lang w:val="en-US"/>
        </w:rPr>
        <w:t xml:space="preserve">all coefficients on the </w:t>
      </w:r>
      <w:proofErr w:type="spellStart"/>
      <w:r w:rsidR="00804186">
        <w:rPr>
          <w:rFonts w:ascii="Times New Roman" w:hAnsi="Times New Roman" w:cs="Times New Roman"/>
          <w:sz w:val="24"/>
          <w:szCs w:val="24"/>
          <w:lang w:val="en-US"/>
        </w:rPr>
        <w:t>regressors</w:t>
      </w:r>
      <w:proofErr w:type="spellEnd"/>
      <w:r w:rsidR="00804186">
        <w:rPr>
          <w:rFonts w:ascii="Times New Roman" w:hAnsi="Times New Roman" w:cs="Times New Roman"/>
          <w:sz w:val="24"/>
          <w:szCs w:val="24"/>
          <w:lang w:val="en-US"/>
        </w:rPr>
        <w:t xml:space="preserve"> have the expected signs</w:t>
      </w:r>
      <w:r w:rsidR="00050EA3">
        <w:rPr>
          <w:rFonts w:ascii="Times New Roman" w:hAnsi="Times New Roman" w:cs="Times New Roman"/>
          <w:sz w:val="24"/>
          <w:szCs w:val="24"/>
          <w:lang w:val="en-US"/>
        </w:rPr>
        <w:t xml:space="preserve">, and the </w:t>
      </w:r>
      <w:r w:rsidR="00050EA3" w:rsidRPr="00E46250">
        <w:rPr>
          <w:rFonts w:ascii="Times New Roman" w:hAnsi="Times New Roman" w:cs="Times New Roman"/>
          <w:i/>
          <w:sz w:val="24"/>
          <w:szCs w:val="24"/>
          <w:lang w:val="en-US"/>
        </w:rPr>
        <w:t>p</w:t>
      </w:r>
      <w:r w:rsidR="00F616E6">
        <w:rPr>
          <w:rFonts w:ascii="Times New Roman" w:hAnsi="Times New Roman" w:cs="Times New Roman"/>
          <w:sz w:val="24"/>
          <w:szCs w:val="24"/>
          <w:lang w:val="en-US"/>
        </w:rPr>
        <w:t xml:space="preserve"> values are .05, .59, .03</w:t>
      </w:r>
      <w:r w:rsidR="00050EA3">
        <w:rPr>
          <w:rFonts w:ascii="Times New Roman" w:hAnsi="Times New Roman" w:cs="Times New Roman"/>
          <w:sz w:val="24"/>
          <w:szCs w:val="24"/>
          <w:lang w:val="en-US"/>
        </w:rPr>
        <w:t xml:space="preserve"> and .0</w:t>
      </w:r>
      <w:r w:rsidR="00F616E6">
        <w:rPr>
          <w:rFonts w:ascii="Times New Roman" w:hAnsi="Times New Roman" w:cs="Times New Roman"/>
          <w:sz w:val="24"/>
          <w:szCs w:val="24"/>
          <w:lang w:val="en-US"/>
        </w:rPr>
        <w:t>02</w:t>
      </w:r>
      <w:r w:rsidR="00050EA3">
        <w:rPr>
          <w:rFonts w:ascii="Times New Roman" w:hAnsi="Times New Roman" w:cs="Times New Roman"/>
          <w:sz w:val="24"/>
          <w:szCs w:val="24"/>
          <w:lang w:val="en-US"/>
        </w:rPr>
        <w:t xml:space="preserve"> respectively</w:t>
      </w:r>
      <w:r w:rsidR="00804186">
        <w:rPr>
          <w:rFonts w:ascii="Times New Roman" w:hAnsi="Times New Roman" w:cs="Times New Roman"/>
          <w:sz w:val="24"/>
          <w:szCs w:val="24"/>
          <w:lang w:val="en-US"/>
        </w:rPr>
        <w:t xml:space="preserve">.  In particular, the death rate falls as the stringency of the restrictions rises.  However, unlike the other three coefficients in the model, the coefficient on </w:t>
      </w:r>
      <w:r w:rsidR="00804186" w:rsidRPr="00E06F43">
        <w:rPr>
          <w:rFonts w:ascii="Times New Roman" w:hAnsi="Times New Roman" w:cs="Times New Roman"/>
          <w:i/>
          <w:sz w:val="24"/>
          <w:szCs w:val="24"/>
          <w:lang w:val="en-US"/>
        </w:rPr>
        <w:t>S</w:t>
      </w:r>
      <w:r w:rsidR="00804186">
        <w:rPr>
          <w:rFonts w:ascii="Times New Roman" w:hAnsi="Times New Roman" w:cs="Times New Roman"/>
          <w:sz w:val="24"/>
          <w:szCs w:val="24"/>
          <w:lang w:val="en-US"/>
        </w:rPr>
        <w:t xml:space="preserve"> is not strongly statistically significant (</w:t>
      </w:r>
      <w:r w:rsidR="00804186" w:rsidRPr="00E06F43">
        <w:rPr>
          <w:rFonts w:ascii="Times New Roman" w:hAnsi="Times New Roman" w:cs="Times New Roman"/>
          <w:i/>
          <w:sz w:val="24"/>
          <w:szCs w:val="24"/>
          <w:lang w:val="en-US"/>
        </w:rPr>
        <w:t>p</w:t>
      </w:r>
      <w:r w:rsidR="000B0822">
        <w:rPr>
          <w:rFonts w:ascii="Times New Roman" w:hAnsi="Times New Roman" w:cs="Times New Roman"/>
          <w:sz w:val="24"/>
          <w:szCs w:val="24"/>
          <w:lang w:val="en-US"/>
        </w:rPr>
        <w:t xml:space="preserve"> = 0.59</w:t>
      </w:r>
      <w:r w:rsidR="00804186">
        <w:rPr>
          <w:rFonts w:ascii="Times New Roman" w:hAnsi="Times New Roman" w:cs="Times New Roman"/>
          <w:sz w:val="24"/>
          <w:szCs w:val="24"/>
          <w:lang w:val="en-US"/>
        </w:rPr>
        <w:t xml:space="preserve">), so the hypothesis that </w:t>
      </w:r>
      <w:r w:rsidR="00804186" w:rsidRPr="00E06F43">
        <w:rPr>
          <w:rFonts w:ascii="Times New Roman" w:hAnsi="Times New Roman" w:cs="Times New Roman"/>
          <w:i/>
          <w:sz w:val="24"/>
          <w:szCs w:val="24"/>
          <w:lang w:val="en-US"/>
        </w:rPr>
        <w:t>D</w:t>
      </w:r>
      <w:r w:rsidR="00804186">
        <w:rPr>
          <w:rFonts w:ascii="Times New Roman" w:hAnsi="Times New Roman" w:cs="Times New Roman"/>
          <w:sz w:val="24"/>
          <w:szCs w:val="24"/>
          <w:lang w:val="en-US"/>
        </w:rPr>
        <w:t xml:space="preserve"> is unrelated to </w:t>
      </w:r>
      <w:r w:rsidR="00804186" w:rsidRPr="00E06F43">
        <w:rPr>
          <w:rFonts w:ascii="Times New Roman" w:hAnsi="Times New Roman" w:cs="Times New Roman"/>
          <w:i/>
          <w:sz w:val="24"/>
          <w:szCs w:val="24"/>
          <w:lang w:val="en-US"/>
        </w:rPr>
        <w:t>S</w:t>
      </w:r>
      <w:r w:rsidR="00804186">
        <w:rPr>
          <w:rFonts w:ascii="Times New Roman" w:hAnsi="Times New Roman" w:cs="Times New Roman"/>
          <w:sz w:val="24"/>
          <w:szCs w:val="24"/>
          <w:lang w:val="en-US"/>
        </w:rPr>
        <w:t xml:space="preserve"> cannot be rejected.  Furthermore, if Sweden is deleted from the regression model (1/33 data points), the coefficient on </w:t>
      </w:r>
      <w:r w:rsidR="00804186" w:rsidRPr="001C1391">
        <w:rPr>
          <w:rFonts w:ascii="Times New Roman" w:hAnsi="Times New Roman" w:cs="Times New Roman"/>
          <w:i/>
          <w:sz w:val="24"/>
          <w:szCs w:val="24"/>
          <w:lang w:val="en-US"/>
        </w:rPr>
        <w:t>S</w:t>
      </w:r>
      <w:r w:rsidR="00804186">
        <w:rPr>
          <w:rFonts w:ascii="Times New Roman" w:hAnsi="Times New Roman" w:cs="Times New Roman"/>
          <w:sz w:val="24"/>
          <w:szCs w:val="24"/>
          <w:lang w:val="en-US"/>
        </w:rPr>
        <w:t xml:space="preserve"> becomes positive.  So, the evidence for government restrictions reducing the death rate is minimal.  This may seem counterintuitive, but the explanation may lie in the adjective.  Even without government restrictions, people will take actions to lower their risks in a pandemic and the incremental effect of government actions may then be </w:t>
      </w:r>
      <w:r w:rsidR="0046770A">
        <w:rPr>
          <w:rFonts w:ascii="Times New Roman" w:hAnsi="Times New Roman" w:cs="Times New Roman"/>
          <w:sz w:val="24"/>
          <w:szCs w:val="24"/>
          <w:lang w:val="en-US"/>
        </w:rPr>
        <w:t>too little to be statistically significant</w:t>
      </w:r>
      <w:r w:rsidR="00804186">
        <w:rPr>
          <w:rFonts w:ascii="Times New Roman" w:hAnsi="Times New Roman" w:cs="Times New Roman"/>
          <w:sz w:val="24"/>
          <w:szCs w:val="24"/>
          <w:lang w:val="en-US"/>
        </w:rPr>
        <w:t>.  This is consistent with the economic evidence that most of New Zealand’s expected GDP losses from the pandemic are not attributable to the actions of the New Zealand government.</w:t>
      </w:r>
    </w:p>
    <w:p w:rsidR="00804186" w:rsidRDefault="00804186" w:rsidP="00804186">
      <w:pPr>
        <w:spacing w:after="0" w:line="360" w:lineRule="auto"/>
        <w:jc w:val="both"/>
        <w:rPr>
          <w:rFonts w:ascii="Times New Roman" w:hAnsi="Times New Roman" w:cs="Times New Roman"/>
          <w:sz w:val="24"/>
          <w:szCs w:val="24"/>
          <w:lang w:val="en-US"/>
        </w:rPr>
      </w:pPr>
    </w:p>
    <w:p w:rsidR="00804186" w:rsidRDefault="00804186"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epidemiological impact of all three independent variables on </w:t>
      </w:r>
      <w:r w:rsidRPr="00AD2E0F">
        <w:rPr>
          <w:rFonts w:ascii="Times New Roman" w:hAnsi="Times New Roman" w:cs="Times New Roman"/>
          <w:i/>
          <w:sz w:val="24"/>
          <w:szCs w:val="24"/>
          <w:lang w:val="en-US"/>
        </w:rPr>
        <w:t>D</w:t>
      </w:r>
      <w:r>
        <w:rPr>
          <w:rFonts w:ascii="Times New Roman" w:hAnsi="Times New Roman" w:cs="Times New Roman"/>
          <w:sz w:val="24"/>
          <w:szCs w:val="24"/>
          <w:lang w:val="en-US"/>
        </w:rPr>
        <w:t xml:space="preserve"> is substantial relative to the observed variation in </w:t>
      </w:r>
      <w:r w:rsidRPr="00AD2E0F">
        <w:rPr>
          <w:rFonts w:ascii="Times New Roman" w:hAnsi="Times New Roman" w:cs="Times New Roman"/>
          <w:i/>
          <w:sz w:val="24"/>
          <w:szCs w:val="24"/>
          <w:lang w:val="en-US"/>
        </w:rPr>
        <w:t>D</w:t>
      </w:r>
      <w:r w:rsidR="005B3708">
        <w:rPr>
          <w:rFonts w:ascii="Times New Roman" w:hAnsi="Times New Roman" w:cs="Times New Roman"/>
          <w:sz w:val="24"/>
          <w:szCs w:val="24"/>
          <w:lang w:val="en-US"/>
        </w:rPr>
        <w:t xml:space="preserve"> (which ranges from 6 to 85</w:t>
      </w:r>
      <w:r>
        <w:rPr>
          <w:rFonts w:ascii="Times New Roman" w:hAnsi="Times New Roman" w:cs="Times New Roman"/>
          <w:sz w:val="24"/>
          <w:szCs w:val="24"/>
          <w:lang w:val="en-US"/>
        </w:rPr>
        <w:t xml:space="preserve">0); going from the minimum to the maximum value for </w:t>
      </w:r>
      <w:r w:rsidRPr="00AD2E0F">
        <w:rPr>
          <w:rFonts w:ascii="Times New Roman" w:hAnsi="Times New Roman" w:cs="Times New Roman"/>
          <w:i/>
          <w:sz w:val="24"/>
          <w:szCs w:val="24"/>
          <w:lang w:val="en-US"/>
        </w:rPr>
        <w:t>S</w:t>
      </w:r>
      <w:r w:rsidR="005B3708">
        <w:rPr>
          <w:rFonts w:ascii="Times New Roman" w:hAnsi="Times New Roman" w:cs="Times New Roman"/>
          <w:sz w:val="24"/>
          <w:szCs w:val="24"/>
          <w:lang w:val="en-US"/>
        </w:rPr>
        <w:t xml:space="preserve"> (0.54</w:t>
      </w:r>
      <w:r>
        <w:rPr>
          <w:rFonts w:ascii="Times New Roman" w:hAnsi="Times New Roman" w:cs="Times New Roman"/>
          <w:sz w:val="24"/>
          <w:szCs w:val="24"/>
          <w:lang w:val="en-US"/>
        </w:rPr>
        <w:t xml:space="preserve"> to 1.0) is expected to lower </w:t>
      </w:r>
      <w:r w:rsidRPr="00AD2E0F">
        <w:rPr>
          <w:rFonts w:ascii="Times New Roman" w:hAnsi="Times New Roman" w:cs="Times New Roman"/>
          <w:i/>
          <w:sz w:val="24"/>
          <w:szCs w:val="24"/>
          <w:lang w:val="en-US"/>
        </w:rPr>
        <w:t>D</w:t>
      </w:r>
      <w:r w:rsidR="005B3708">
        <w:rPr>
          <w:rFonts w:ascii="Times New Roman" w:hAnsi="Times New Roman" w:cs="Times New Roman"/>
          <w:sz w:val="24"/>
          <w:szCs w:val="24"/>
          <w:lang w:val="en-US"/>
        </w:rPr>
        <w:t xml:space="preserve"> by 76</w:t>
      </w:r>
      <w:r>
        <w:rPr>
          <w:rFonts w:ascii="Times New Roman" w:hAnsi="Times New Roman" w:cs="Times New Roman"/>
          <w:sz w:val="24"/>
          <w:szCs w:val="24"/>
          <w:lang w:val="en-US"/>
        </w:rPr>
        <w:t xml:space="preserve"> per 1m, going from the minimum to the maximum value for </w:t>
      </w:r>
      <w:r w:rsidRPr="00AD2E0F">
        <w:rPr>
          <w:rFonts w:ascii="Times New Roman" w:hAnsi="Times New Roman" w:cs="Times New Roman"/>
          <w:i/>
          <w:sz w:val="24"/>
          <w:szCs w:val="24"/>
          <w:lang w:val="en-US"/>
        </w:rPr>
        <w:t>PD</w:t>
      </w:r>
      <w:r>
        <w:rPr>
          <w:rFonts w:ascii="Times New Roman" w:hAnsi="Times New Roman" w:cs="Times New Roman"/>
          <w:sz w:val="24"/>
          <w:szCs w:val="24"/>
          <w:lang w:val="en-US"/>
        </w:rPr>
        <w:t xml:space="preserve"> (0.008 to 1.06) is expected to raise </w:t>
      </w:r>
      <w:r w:rsidRPr="00AD2E0F">
        <w:rPr>
          <w:rFonts w:ascii="Times New Roman" w:hAnsi="Times New Roman" w:cs="Times New Roman"/>
          <w:i/>
          <w:sz w:val="24"/>
          <w:szCs w:val="24"/>
          <w:lang w:val="en-US"/>
        </w:rPr>
        <w:t>D</w:t>
      </w:r>
      <w:r w:rsidR="005B3708">
        <w:rPr>
          <w:rFonts w:ascii="Times New Roman" w:hAnsi="Times New Roman" w:cs="Times New Roman"/>
          <w:sz w:val="24"/>
          <w:szCs w:val="24"/>
          <w:lang w:val="en-US"/>
        </w:rPr>
        <w:t xml:space="preserve"> by 315</w:t>
      </w:r>
      <w:r>
        <w:rPr>
          <w:rFonts w:ascii="Times New Roman" w:hAnsi="Times New Roman" w:cs="Times New Roman"/>
          <w:sz w:val="24"/>
          <w:szCs w:val="24"/>
          <w:lang w:val="en-US"/>
        </w:rPr>
        <w:t xml:space="preserve"> per 1m, and going from the minimum to the maximum value for </w:t>
      </w:r>
      <w:r>
        <w:rPr>
          <w:rFonts w:ascii="Times New Roman" w:hAnsi="Times New Roman" w:cs="Times New Roman"/>
          <w:i/>
          <w:sz w:val="24"/>
          <w:szCs w:val="24"/>
          <w:lang w:val="en-US"/>
        </w:rPr>
        <w:t>F</w:t>
      </w:r>
      <w:r w:rsidRPr="00AD2E0F">
        <w:rPr>
          <w:rFonts w:ascii="Times New Roman" w:hAnsi="Times New Roman" w:cs="Times New Roman"/>
          <w:i/>
          <w:sz w:val="24"/>
          <w:szCs w:val="24"/>
          <w:lang w:val="en-US"/>
        </w:rPr>
        <w:t>D</w:t>
      </w:r>
      <w:r>
        <w:rPr>
          <w:rFonts w:ascii="Times New Roman" w:hAnsi="Times New Roman" w:cs="Times New Roman"/>
          <w:sz w:val="24"/>
          <w:szCs w:val="24"/>
          <w:lang w:val="en-US"/>
        </w:rPr>
        <w:t xml:space="preserve"> (1 to 46) is expected to lower </w:t>
      </w:r>
      <w:r w:rsidRPr="00AD2E0F">
        <w:rPr>
          <w:rFonts w:ascii="Times New Roman" w:hAnsi="Times New Roman" w:cs="Times New Roman"/>
          <w:i/>
          <w:sz w:val="24"/>
          <w:szCs w:val="24"/>
          <w:lang w:val="en-US"/>
        </w:rPr>
        <w:t>D</w:t>
      </w:r>
      <w:r w:rsidR="005B3708">
        <w:rPr>
          <w:rFonts w:ascii="Times New Roman" w:hAnsi="Times New Roman" w:cs="Times New Roman"/>
          <w:sz w:val="24"/>
          <w:szCs w:val="24"/>
          <w:lang w:val="en-US"/>
        </w:rPr>
        <w:t xml:space="preserve"> by 536</w:t>
      </w:r>
      <w:r>
        <w:rPr>
          <w:rFonts w:ascii="Times New Roman" w:hAnsi="Times New Roman" w:cs="Times New Roman"/>
          <w:sz w:val="24"/>
          <w:szCs w:val="24"/>
          <w:lang w:val="en-US"/>
        </w:rPr>
        <w:t xml:space="preserve"> per 1m.  Interestingly, using this model, the predicted death rate (to date) for New Zealand (with its </w:t>
      </w:r>
      <w:proofErr w:type="spellStart"/>
      <w:r>
        <w:rPr>
          <w:rFonts w:ascii="Times New Roman" w:hAnsi="Times New Roman" w:cs="Times New Roman"/>
          <w:sz w:val="24"/>
          <w:szCs w:val="24"/>
          <w:lang w:val="en-US"/>
        </w:rPr>
        <w:t>regressor</w:t>
      </w:r>
      <w:proofErr w:type="spellEnd"/>
      <w:r>
        <w:rPr>
          <w:rFonts w:ascii="Times New Roman" w:hAnsi="Times New Roman" w:cs="Times New Roman"/>
          <w:sz w:val="24"/>
          <w:szCs w:val="24"/>
          <w:lang w:val="en-US"/>
        </w:rPr>
        <w:t xml:space="preserve"> values of </w:t>
      </w:r>
      <w:r w:rsidRPr="00A841FE">
        <w:rPr>
          <w:rFonts w:ascii="Times New Roman" w:hAnsi="Times New Roman" w:cs="Times New Roman"/>
          <w:i/>
          <w:sz w:val="24"/>
          <w:szCs w:val="24"/>
          <w:lang w:val="en-US"/>
        </w:rPr>
        <w:t>S</w:t>
      </w:r>
      <w:r>
        <w:rPr>
          <w:rFonts w:ascii="Times New Roman" w:hAnsi="Times New Roman" w:cs="Times New Roman"/>
          <w:sz w:val="24"/>
          <w:szCs w:val="24"/>
          <w:lang w:val="en-US"/>
        </w:rPr>
        <w:t xml:space="preserve"> = 96, </w:t>
      </w:r>
      <w:r w:rsidRPr="00A841FE">
        <w:rPr>
          <w:rFonts w:ascii="Times New Roman" w:hAnsi="Times New Roman" w:cs="Times New Roman"/>
          <w:i/>
          <w:sz w:val="24"/>
          <w:szCs w:val="24"/>
          <w:lang w:val="en-US"/>
        </w:rPr>
        <w:t>PD</w:t>
      </w:r>
      <w:r>
        <w:rPr>
          <w:rFonts w:ascii="Times New Roman" w:hAnsi="Times New Roman" w:cs="Times New Roman"/>
          <w:sz w:val="24"/>
          <w:szCs w:val="24"/>
          <w:lang w:val="en-US"/>
        </w:rPr>
        <w:t xml:space="preserve"> = 5.0/103 and </w:t>
      </w:r>
      <w:r w:rsidRPr="007139E1">
        <w:rPr>
          <w:rFonts w:ascii="Times New Roman" w:hAnsi="Times New Roman" w:cs="Times New Roman"/>
          <w:i/>
          <w:sz w:val="24"/>
          <w:szCs w:val="24"/>
          <w:lang w:val="en-US"/>
        </w:rPr>
        <w:t>FD</w:t>
      </w:r>
      <w:r>
        <w:rPr>
          <w:rFonts w:ascii="Times New Roman" w:hAnsi="Times New Roman" w:cs="Times New Roman"/>
          <w:sz w:val="24"/>
          <w:szCs w:val="24"/>
          <w:lang w:val="en-US"/>
        </w:rPr>
        <w:t xml:space="preserve"> = 42) is negative, so New Zealand (with an actual death rate of 4) underperformed relative to its </w:t>
      </w:r>
      <w:proofErr w:type="spellStart"/>
      <w:r>
        <w:rPr>
          <w:rFonts w:ascii="Times New Roman" w:hAnsi="Times New Roman" w:cs="Times New Roman"/>
          <w:sz w:val="24"/>
          <w:szCs w:val="24"/>
          <w:lang w:val="en-US"/>
        </w:rPr>
        <w:t>regressor</w:t>
      </w:r>
      <w:proofErr w:type="spellEnd"/>
      <w:r>
        <w:rPr>
          <w:rFonts w:ascii="Times New Roman" w:hAnsi="Times New Roman" w:cs="Times New Roman"/>
          <w:sz w:val="24"/>
          <w:szCs w:val="24"/>
          <w:lang w:val="en-US"/>
        </w:rPr>
        <w:t xml:space="preserve"> values.</w:t>
      </w:r>
    </w:p>
    <w:p w:rsidR="00804186" w:rsidRDefault="00804186" w:rsidP="00804186">
      <w:pPr>
        <w:spacing w:after="0" w:line="360" w:lineRule="auto"/>
        <w:jc w:val="both"/>
        <w:rPr>
          <w:rFonts w:ascii="Times New Roman" w:hAnsi="Times New Roman" w:cs="Times New Roman"/>
          <w:sz w:val="24"/>
          <w:szCs w:val="24"/>
          <w:lang w:val="en-US"/>
        </w:rPr>
      </w:pPr>
    </w:p>
    <w:p w:rsidR="00D439BF" w:rsidRDefault="00804186"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fundamental t</w:t>
      </w:r>
      <w:r w:rsidR="00F612E9">
        <w:rPr>
          <w:rFonts w:ascii="Times New Roman" w:hAnsi="Times New Roman" w:cs="Times New Roman"/>
          <w:sz w:val="24"/>
          <w:szCs w:val="24"/>
          <w:lang w:val="en-US"/>
        </w:rPr>
        <w:t>o equation (10</w:t>
      </w:r>
      <w:r>
        <w:rPr>
          <w:rFonts w:ascii="Times New Roman" w:hAnsi="Times New Roman" w:cs="Times New Roman"/>
          <w:sz w:val="24"/>
          <w:szCs w:val="24"/>
          <w:lang w:val="en-US"/>
        </w:rPr>
        <w:t xml:space="preserve">) that causality runs from the </w:t>
      </w:r>
      <w:proofErr w:type="spellStart"/>
      <w:r>
        <w:rPr>
          <w:rFonts w:ascii="Times New Roman" w:hAnsi="Times New Roman" w:cs="Times New Roman"/>
          <w:sz w:val="24"/>
          <w:szCs w:val="24"/>
          <w:lang w:val="en-US"/>
        </w:rPr>
        <w:t>regressors</w:t>
      </w:r>
      <w:proofErr w:type="spellEnd"/>
      <w:r>
        <w:rPr>
          <w:rFonts w:ascii="Times New Roman" w:hAnsi="Times New Roman" w:cs="Times New Roman"/>
          <w:sz w:val="24"/>
          <w:szCs w:val="24"/>
          <w:lang w:val="en-US"/>
        </w:rPr>
        <w:t xml:space="preserve"> to the death rate.  However, it is possible that the causality also runs from </w:t>
      </w:r>
      <w:r w:rsidRPr="00A841FE">
        <w:rPr>
          <w:rFonts w:ascii="Times New Roman" w:hAnsi="Times New Roman" w:cs="Times New Roman"/>
          <w:i/>
          <w:sz w:val="24"/>
          <w:szCs w:val="24"/>
          <w:lang w:val="en-US"/>
        </w:rPr>
        <w:t>D</w:t>
      </w:r>
      <w:r>
        <w:rPr>
          <w:rFonts w:ascii="Times New Roman" w:hAnsi="Times New Roman" w:cs="Times New Roman"/>
          <w:sz w:val="24"/>
          <w:szCs w:val="24"/>
          <w:lang w:val="en-US"/>
        </w:rPr>
        <w:t xml:space="preserve"> to </w:t>
      </w:r>
      <w:r w:rsidRPr="00A841FE">
        <w:rPr>
          <w:rFonts w:ascii="Times New Roman" w:hAnsi="Times New Roman" w:cs="Times New Roman"/>
          <w:i/>
          <w:sz w:val="24"/>
          <w:szCs w:val="24"/>
          <w:lang w:val="en-US"/>
        </w:rPr>
        <w:t>S</w:t>
      </w:r>
      <w:r>
        <w:rPr>
          <w:rFonts w:ascii="Times New Roman" w:hAnsi="Times New Roman" w:cs="Times New Roman"/>
          <w:sz w:val="24"/>
          <w:szCs w:val="24"/>
          <w:lang w:val="en-US"/>
        </w:rPr>
        <w:t xml:space="preserve"> because </w:t>
      </w:r>
    </w:p>
    <w:p w:rsidR="00D439BF" w:rsidRDefault="00804186" w:rsidP="00D439BF">
      <w:pPr>
        <w:pStyle w:val="ListParagraph"/>
        <w:numPr>
          <w:ilvl w:val="0"/>
          <w:numId w:val="4"/>
        </w:numPr>
        <w:spacing w:after="0" w:line="360" w:lineRule="auto"/>
        <w:jc w:val="both"/>
        <w:rPr>
          <w:rFonts w:ascii="Times New Roman" w:hAnsi="Times New Roman" w:cs="Times New Roman"/>
          <w:sz w:val="24"/>
          <w:szCs w:val="24"/>
          <w:lang w:val="en-US"/>
        </w:rPr>
      </w:pPr>
      <w:r w:rsidRPr="00D439BF">
        <w:rPr>
          <w:rFonts w:ascii="Times New Roman" w:hAnsi="Times New Roman" w:cs="Times New Roman"/>
          <w:sz w:val="24"/>
          <w:szCs w:val="24"/>
          <w:lang w:val="en-US"/>
        </w:rPr>
        <w:lastRenderedPageBreak/>
        <w:t xml:space="preserve">some governments chose their </w:t>
      </w:r>
      <w:r w:rsidRPr="00D439BF">
        <w:rPr>
          <w:rFonts w:ascii="Times New Roman" w:hAnsi="Times New Roman" w:cs="Times New Roman"/>
          <w:i/>
          <w:sz w:val="24"/>
          <w:szCs w:val="24"/>
          <w:lang w:val="en-US"/>
        </w:rPr>
        <w:t>S</w:t>
      </w:r>
      <w:r w:rsidRPr="00D439BF">
        <w:rPr>
          <w:rFonts w:ascii="Times New Roman" w:hAnsi="Times New Roman" w:cs="Times New Roman"/>
          <w:sz w:val="24"/>
          <w:szCs w:val="24"/>
          <w:lang w:val="en-US"/>
        </w:rPr>
        <w:t xml:space="preserve"> value </w:t>
      </w:r>
      <w:r w:rsidR="008A15B9">
        <w:rPr>
          <w:rFonts w:ascii="Times New Roman" w:hAnsi="Times New Roman" w:cs="Times New Roman"/>
          <w:sz w:val="24"/>
          <w:szCs w:val="24"/>
          <w:lang w:val="en-US"/>
        </w:rPr>
        <w:t xml:space="preserve">at the commencement of the crisis </w:t>
      </w:r>
      <w:r w:rsidR="000D4FF4">
        <w:rPr>
          <w:rFonts w:ascii="Times New Roman" w:hAnsi="Times New Roman" w:cs="Times New Roman"/>
          <w:sz w:val="24"/>
          <w:szCs w:val="24"/>
          <w:lang w:val="en-US"/>
        </w:rPr>
        <w:t xml:space="preserve">based upon </w:t>
      </w:r>
      <w:r w:rsidRPr="00D439BF">
        <w:rPr>
          <w:rFonts w:ascii="Times New Roman" w:hAnsi="Times New Roman" w:cs="Times New Roman"/>
          <w:sz w:val="24"/>
          <w:szCs w:val="24"/>
          <w:lang w:val="en-US"/>
        </w:rPr>
        <w:t xml:space="preserve">their predictions of </w:t>
      </w:r>
      <w:r w:rsidRPr="00D439BF">
        <w:rPr>
          <w:rFonts w:ascii="Times New Roman" w:hAnsi="Times New Roman" w:cs="Times New Roman"/>
          <w:i/>
          <w:sz w:val="24"/>
          <w:szCs w:val="24"/>
          <w:lang w:val="en-US"/>
        </w:rPr>
        <w:t>D</w:t>
      </w:r>
      <w:r w:rsidRPr="00D439BF">
        <w:rPr>
          <w:rFonts w:ascii="Times New Roman" w:hAnsi="Times New Roman" w:cs="Times New Roman"/>
          <w:sz w:val="24"/>
          <w:szCs w:val="24"/>
          <w:lang w:val="en-US"/>
        </w:rPr>
        <w:t xml:space="preserve"> under both low and high </w:t>
      </w:r>
      <w:r w:rsidRPr="00D439BF">
        <w:rPr>
          <w:rFonts w:ascii="Times New Roman" w:hAnsi="Times New Roman" w:cs="Times New Roman"/>
          <w:i/>
          <w:sz w:val="24"/>
          <w:szCs w:val="24"/>
          <w:lang w:val="en-US"/>
        </w:rPr>
        <w:t>S</w:t>
      </w:r>
      <w:r w:rsidRPr="00D439BF">
        <w:rPr>
          <w:rFonts w:ascii="Times New Roman" w:hAnsi="Times New Roman" w:cs="Times New Roman"/>
          <w:sz w:val="24"/>
          <w:szCs w:val="24"/>
          <w:lang w:val="en-US"/>
        </w:rPr>
        <w:t xml:space="preserve"> scenarios</w:t>
      </w:r>
      <w:r w:rsidR="00D439BF">
        <w:rPr>
          <w:rFonts w:ascii="Times New Roman" w:hAnsi="Times New Roman" w:cs="Times New Roman"/>
          <w:sz w:val="24"/>
          <w:szCs w:val="24"/>
          <w:lang w:val="en-US"/>
        </w:rPr>
        <w:t>, and/or</w:t>
      </w:r>
    </w:p>
    <w:p w:rsidR="00D439BF" w:rsidRDefault="00D439BF" w:rsidP="00D439BF">
      <w:pPr>
        <w:pStyle w:val="ListParagraph"/>
        <w:numPr>
          <w:ilvl w:val="0"/>
          <w:numId w:val="4"/>
        </w:num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some</w:t>
      </w:r>
      <w:proofErr w:type="gramEnd"/>
      <w:r>
        <w:rPr>
          <w:rFonts w:ascii="Times New Roman" w:hAnsi="Times New Roman" w:cs="Times New Roman"/>
          <w:sz w:val="24"/>
          <w:szCs w:val="24"/>
          <w:lang w:val="en-US"/>
        </w:rPr>
        <w:t xml:space="preserve"> governments chose their </w:t>
      </w:r>
      <w:r w:rsidRPr="00D439BF">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values </w:t>
      </w:r>
      <w:r w:rsidR="000D4FF4">
        <w:rPr>
          <w:rFonts w:ascii="Times New Roman" w:hAnsi="Times New Roman" w:cs="Times New Roman"/>
          <w:sz w:val="24"/>
          <w:szCs w:val="24"/>
          <w:lang w:val="en-US"/>
        </w:rPr>
        <w:t xml:space="preserve">based upon their </w:t>
      </w:r>
      <w:r>
        <w:rPr>
          <w:rFonts w:ascii="Times New Roman" w:hAnsi="Times New Roman" w:cs="Times New Roman"/>
          <w:sz w:val="24"/>
          <w:szCs w:val="24"/>
          <w:lang w:val="en-US"/>
        </w:rPr>
        <w:t>observation of their country’s death rate in the early stages of the crisis</w:t>
      </w:r>
      <w:r w:rsidR="00804186" w:rsidRPr="00D439BF">
        <w:rPr>
          <w:rFonts w:ascii="Times New Roman" w:hAnsi="Times New Roman" w:cs="Times New Roman"/>
          <w:sz w:val="24"/>
          <w:szCs w:val="24"/>
          <w:lang w:val="en-US"/>
        </w:rPr>
        <w:t xml:space="preserve">.  </w:t>
      </w:r>
    </w:p>
    <w:p w:rsidR="00D439BF" w:rsidRDefault="00804186" w:rsidP="00D439BF">
      <w:pPr>
        <w:pStyle w:val="ListParagraph"/>
        <w:spacing w:after="0" w:line="360" w:lineRule="auto"/>
        <w:ind w:left="0"/>
        <w:jc w:val="both"/>
        <w:rPr>
          <w:rFonts w:ascii="Times New Roman" w:hAnsi="Times New Roman" w:cs="Times New Roman"/>
          <w:sz w:val="24"/>
          <w:szCs w:val="24"/>
          <w:lang w:val="en-US"/>
        </w:rPr>
      </w:pPr>
      <w:r w:rsidRPr="00D439BF">
        <w:rPr>
          <w:rFonts w:ascii="Times New Roman" w:hAnsi="Times New Roman" w:cs="Times New Roman"/>
          <w:sz w:val="24"/>
          <w:szCs w:val="24"/>
          <w:lang w:val="en-US"/>
        </w:rPr>
        <w:t xml:space="preserve">If </w:t>
      </w:r>
      <w:r w:rsidR="00D439BF">
        <w:rPr>
          <w:rFonts w:ascii="Times New Roman" w:hAnsi="Times New Roman" w:cs="Times New Roman"/>
          <w:sz w:val="24"/>
          <w:szCs w:val="24"/>
          <w:lang w:val="en-US"/>
        </w:rPr>
        <w:t>either of these is true</w:t>
      </w:r>
      <w:r w:rsidRPr="00D439BF">
        <w:rPr>
          <w:rFonts w:ascii="Times New Roman" w:hAnsi="Times New Roman" w:cs="Times New Roman"/>
          <w:sz w:val="24"/>
          <w:szCs w:val="24"/>
          <w:lang w:val="en-US"/>
        </w:rPr>
        <w:t xml:space="preserve">, the estimated coefficient on </w:t>
      </w:r>
      <w:r w:rsidRPr="00D439BF">
        <w:rPr>
          <w:rFonts w:ascii="Times New Roman" w:hAnsi="Times New Roman" w:cs="Times New Roman"/>
          <w:i/>
          <w:sz w:val="24"/>
          <w:szCs w:val="24"/>
          <w:lang w:val="en-US"/>
        </w:rPr>
        <w:t>S</w:t>
      </w:r>
      <w:r w:rsidRPr="00D439BF">
        <w:rPr>
          <w:rFonts w:ascii="Times New Roman" w:hAnsi="Times New Roman" w:cs="Times New Roman"/>
          <w:sz w:val="24"/>
          <w:szCs w:val="24"/>
          <w:lang w:val="en-US"/>
        </w:rPr>
        <w:t xml:space="preserve"> </w:t>
      </w:r>
      <w:r w:rsidR="00CD347A">
        <w:rPr>
          <w:rFonts w:ascii="Times New Roman" w:hAnsi="Times New Roman" w:cs="Times New Roman"/>
          <w:sz w:val="24"/>
          <w:szCs w:val="24"/>
          <w:lang w:val="en-US"/>
        </w:rPr>
        <w:t>in equation (8</w:t>
      </w:r>
      <w:r w:rsidRPr="00D439BF">
        <w:rPr>
          <w:rFonts w:ascii="Times New Roman" w:hAnsi="Times New Roman" w:cs="Times New Roman"/>
          <w:sz w:val="24"/>
          <w:szCs w:val="24"/>
          <w:lang w:val="en-US"/>
        </w:rPr>
        <w:t xml:space="preserve">) </w:t>
      </w:r>
      <w:r w:rsidR="00CD6712">
        <w:rPr>
          <w:rFonts w:ascii="Times New Roman" w:hAnsi="Times New Roman" w:cs="Times New Roman"/>
          <w:sz w:val="24"/>
          <w:szCs w:val="24"/>
          <w:lang w:val="en-US"/>
        </w:rPr>
        <w:t xml:space="preserve">may </w:t>
      </w:r>
      <w:r w:rsidRPr="00D439BF">
        <w:rPr>
          <w:rFonts w:ascii="Times New Roman" w:hAnsi="Times New Roman" w:cs="Times New Roman"/>
          <w:sz w:val="24"/>
          <w:szCs w:val="24"/>
          <w:lang w:val="en-US"/>
        </w:rPr>
        <w:t xml:space="preserve">be biased.  The traditional method of dealing with this is to use an “instrumental variable”, but no good candidates are apparent.  I therefore enquire into the extent of </w:t>
      </w:r>
      <w:r w:rsidR="00D439BF">
        <w:rPr>
          <w:rFonts w:ascii="Times New Roman" w:hAnsi="Times New Roman" w:cs="Times New Roman"/>
          <w:sz w:val="24"/>
          <w:szCs w:val="24"/>
          <w:lang w:val="en-US"/>
        </w:rPr>
        <w:t xml:space="preserve">these </w:t>
      </w:r>
      <w:r w:rsidRPr="00D439BF">
        <w:rPr>
          <w:rFonts w:ascii="Times New Roman" w:hAnsi="Times New Roman" w:cs="Times New Roman"/>
          <w:sz w:val="24"/>
          <w:szCs w:val="24"/>
          <w:lang w:val="en-US"/>
        </w:rPr>
        <w:t>problem</w:t>
      </w:r>
      <w:r w:rsidR="00D439BF">
        <w:rPr>
          <w:rFonts w:ascii="Times New Roman" w:hAnsi="Times New Roman" w:cs="Times New Roman"/>
          <w:sz w:val="24"/>
          <w:szCs w:val="24"/>
          <w:lang w:val="en-US"/>
        </w:rPr>
        <w:t>s</w:t>
      </w:r>
      <w:r w:rsidRPr="00D439BF">
        <w:rPr>
          <w:rFonts w:ascii="Times New Roman" w:hAnsi="Times New Roman" w:cs="Times New Roman"/>
          <w:sz w:val="24"/>
          <w:szCs w:val="24"/>
          <w:lang w:val="en-US"/>
        </w:rPr>
        <w:t xml:space="preserve">.  </w:t>
      </w:r>
    </w:p>
    <w:p w:rsidR="00D439BF" w:rsidRDefault="00D439BF" w:rsidP="00D439BF">
      <w:pPr>
        <w:pStyle w:val="ListParagraph"/>
        <w:spacing w:after="0" w:line="360" w:lineRule="auto"/>
        <w:ind w:left="0"/>
        <w:jc w:val="both"/>
        <w:rPr>
          <w:rFonts w:ascii="Times New Roman" w:hAnsi="Times New Roman" w:cs="Times New Roman"/>
          <w:sz w:val="24"/>
          <w:szCs w:val="24"/>
          <w:lang w:val="en-US"/>
        </w:rPr>
      </w:pPr>
    </w:p>
    <w:p w:rsidR="00804186" w:rsidRPr="00D439BF" w:rsidRDefault="00D439BF" w:rsidP="00D439B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respect of the </w:t>
      </w:r>
      <w:r w:rsidR="00E3501D">
        <w:rPr>
          <w:rFonts w:ascii="Times New Roman" w:hAnsi="Times New Roman" w:cs="Times New Roman"/>
          <w:sz w:val="24"/>
          <w:szCs w:val="24"/>
          <w:lang w:val="en-US"/>
        </w:rPr>
        <w:t xml:space="preserve">first possible </w:t>
      </w:r>
      <w:r>
        <w:rPr>
          <w:rFonts w:ascii="Times New Roman" w:hAnsi="Times New Roman" w:cs="Times New Roman"/>
          <w:sz w:val="24"/>
          <w:szCs w:val="24"/>
          <w:lang w:val="en-US"/>
        </w:rPr>
        <w:t xml:space="preserve">problem, </w:t>
      </w:r>
      <w:r w:rsidR="00E3501D">
        <w:rPr>
          <w:rFonts w:ascii="Times New Roman" w:hAnsi="Times New Roman" w:cs="Times New Roman"/>
          <w:sz w:val="24"/>
          <w:szCs w:val="24"/>
          <w:lang w:val="en-US"/>
        </w:rPr>
        <w:t xml:space="preserve">I will focus upon the death rates </w:t>
      </w:r>
      <w:r w:rsidR="00E3501D" w:rsidRPr="00D439BF">
        <w:rPr>
          <w:rFonts w:ascii="Times New Roman" w:hAnsi="Times New Roman" w:cs="Times New Roman"/>
          <w:sz w:val="24"/>
          <w:szCs w:val="24"/>
          <w:lang w:val="en-US"/>
        </w:rPr>
        <w:t>under mitigation (</w:t>
      </w:r>
      <w:r w:rsidR="00E3501D" w:rsidRPr="00D439BF">
        <w:rPr>
          <w:rFonts w:ascii="Times New Roman" w:hAnsi="Times New Roman" w:cs="Times New Roman"/>
          <w:i/>
          <w:sz w:val="24"/>
          <w:szCs w:val="24"/>
          <w:lang w:val="en-US"/>
        </w:rPr>
        <w:t>S</w:t>
      </w:r>
      <w:r w:rsidR="00E3501D" w:rsidRPr="00D439BF">
        <w:rPr>
          <w:rFonts w:ascii="Times New Roman" w:hAnsi="Times New Roman" w:cs="Times New Roman"/>
          <w:sz w:val="24"/>
          <w:szCs w:val="24"/>
          <w:lang w:val="en-US"/>
        </w:rPr>
        <w:t xml:space="preserve"> = 50) and extreme lockdown (</w:t>
      </w:r>
      <w:r w:rsidR="00E3501D" w:rsidRPr="00D439BF">
        <w:rPr>
          <w:rFonts w:ascii="Times New Roman" w:hAnsi="Times New Roman" w:cs="Times New Roman"/>
          <w:i/>
          <w:sz w:val="24"/>
          <w:szCs w:val="24"/>
          <w:lang w:val="en-US"/>
        </w:rPr>
        <w:t>S</w:t>
      </w:r>
      <w:r w:rsidR="00E3501D">
        <w:rPr>
          <w:rFonts w:ascii="Times New Roman" w:hAnsi="Times New Roman" w:cs="Times New Roman"/>
          <w:sz w:val="24"/>
          <w:szCs w:val="24"/>
          <w:lang w:val="en-US"/>
        </w:rPr>
        <w:t xml:space="preserve"> = 100).  S</w:t>
      </w:r>
      <w:r w:rsidR="00804186" w:rsidRPr="00D439BF">
        <w:rPr>
          <w:rFonts w:ascii="Times New Roman" w:hAnsi="Times New Roman" w:cs="Times New Roman"/>
          <w:sz w:val="24"/>
          <w:szCs w:val="24"/>
          <w:lang w:val="en-US"/>
        </w:rPr>
        <w:t xml:space="preserve">uppose </w:t>
      </w:r>
      <w:r>
        <w:rPr>
          <w:rFonts w:ascii="Times New Roman" w:hAnsi="Times New Roman" w:cs="Times New Roman"/>
          <w:sz w:val="24"/>
          <w:szCs w:val="24"/>
          <w:lang w:val="en-US"/>
        </w:rPr>
        <w:t xml:space="preserve">that </w:t>
      </w:r>
      <w:r w:rsidR="00804186" w:rsidRPr="00D439BF">
        <w:rPr>
          <w:rFonts w:ascii="Times New Roman" w:hAnsi="Times New Roman" w:cs="Times New Roman"/>
          <w:sz w:val="24"/>
          <w:szCs w:val="24"/>
          <w:lang w:val="en-US"/>
        </w:rPr>
        <w:t xml:space="preserve">there are two types of countries (A and B) whose governments held the </w:t>
      </w:r>
      <w:r w:rsidR="00EA4CC4">
        <w:rPr>
          <w:rFonts w:ascii="Times New Roman" w:hAnsi="Times New Roman" w:cs="Times New Roman"/>
          <w:sz w:val="24"/>
          <w:szCs w:val="24"/>
          <w:lang w:val="en-US"/>
        </w:rPr>
        <w:t>views shown in Table 6</w:t>
      </w:r>
      <w:r w:rsidR="00804186" w:rsidRPr="00D439BF">
        <w:rPr>
          <w:rFonts w:ascii="Times New Roman" w:hAnsi="Times New Roman" w:cs="Times New Roman"/>
          <w:sz w:val="24"/>
          <w:szCs w:val="24"/>
          <w:lang w:val="en-US"/>
        </w:rPr>
        <w:t xml:space="preserve"> (at the commencement of the crisis) about expected death rates under mitigation </w:t>
      </w:r>
      <w:r w:rsidR="00E3501D">
        <w:rPr>
          <w:rFonts w:ascii="Times New Roman" w:hAnsi="Times New Roman" w:cs="Times New Roman"/>
          <w:sz w:val="24"/>
          <w:szCs w:val="24"/>
          <w:lang w:val="en-US"/>
        </w:rPr>
        <w:t>and extreme lockdown</w:t>
      </w:r>
      <w:r w:rsidR="00804186" w:rsidRPr="00D439BF">
        <w:rPr>
          <w:rFonts w:ascii="Times New Roman" w:hAnsi="Times New Roman" w:cs="Times New Roman"/>
          <w:sz w:val="24"/>
          <w:szCs w:val="24"/>
          <w:lang w:val="en-US"/>
        </w:rPr>
        <w:t>.</w:t>
      </w:r>
    </w:p>
    <w:p w:rsidR="00804186" w:rsidRDefault="00804186" w:rsidP="00804186">
      <w:pPr>
        <w:spacing w:after="0" w:line="360" w:lineRule="auto"/>
        <w:jc w:val="both"/>
        <w:rPr>
          <w:rFonts w:ascii="Times New Roman" w:hAnsi="Times New Roman" w:cs="Times New Roman"/>
          <w:sz w:val="24"/>
          <w:szCs w:val="24"/>
          <w:lang w:val="en-US"/>
        </w:rPr>
      </w:pPr>
    </w:p>
    <w:p w:rsidR="00804186" w:rsidRDefault="00EA4CC4" w:rsidP="0080418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6</w:t>
      </w:r>
      <w:r w:rsidR="00804186">
        <w:rPr>
          <w:rFonts w:ascii="Times New Roman" w:hAnsi="Times New Roman" w:cs="Times New Roman"/>
          <w:sz w:val="24"/>
          <w:szCs w:val="24"/>
          <w:lang w:val="en-US"/>
        </w:rPr>
        <w:t>: Expected Death Rates under Various Scenarios</w:t>
      </w:r>
    </w:p>
    <w:p w:rsidR="00804186" w:rsidRDefault="00804186"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804186" w:rsidRDefault="00804186" w:rsidP="00804186">
      <w:pPr>
        <w:tabs>
          <w:tab w:val="left" w:pos="4536"/>
          <w:tab w:val="left" w:pos="652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D0FCC">
        <w:rPr>
          <w:rFonts w:ascii="Times New Roman" w:hAnsi="Times New Roman" w:cs="Times New Roman"/>
          <w:i/>
          <w:sz w:val="24"/>
          <w:szCs w:val="24"/>
          <w:lang w:val="en-US"/>
        </w:rPr>
        <w:t>S</w:t>
      </w:r>
      <w:r>
        <w:rPr>
          <w:rFonts w:ascii="Times New Roman" w:hAnsi="Times New Roman" w:cs="Times New Roman"/>
          <w:sz w:val="24"/>
          <w:szCs w:val="24"/>
          <w:lang w:val="en-US"/>
        </w:rPr>
        <w:t xml:space="preserve"> = 50</w:t>
      </w:r>
      <w:r>
        <w:rPr>
          <w:rFonts w:ascii="Times New Roman" w:hAnsi="Times New Roman" w:cs="Times New Roman"/>
          <w:sz w:val="24"/>
          <w:szCs w:val="24"/>
          <w:lang w:val="en-US"/>
        </w:rPr>
        <w:tab/>
      </w:r>
      <w:r w:rsidRPr="00AD0FCC">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w:t>
      </w:r>
    </w:p>
    <w:p w:rsidR="00804186" w:rsidRDefault="00804186" w:rsidP="00804186">
      <w:pPr>
        <w:tabs>
          <w:tab w:val="left" w:pos="4536"/>
          <w:tab w:val="left" w:pos="652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804186" w:rsidRDefault="002651D3" w:rsidP="00804186">
      <w:pPr>
        <w:tabs>
          <w:tab w:val="left" w:pos="1701"/>
          <w:tab w:val="left" w:pos="4536"/>
          <w:tab w:val="left" w:pos="6804"/>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Country A</w:t>
      </w:r>
      <w:r>
        <w:rPr>
          <w:rFonts w:ascii="Times New Roman" w:hAnsi="Times New Roman" w:cs="Times New Roman"/>
          <w:sz w:val="24"/>
          <w:szCs w:val="24"/>
          <w:lang w:val="en-US"/>
        </w:rPr>
        <w:tab/>
        <w:t>2,040</w:t>
      </w:r>
      <w:r>
        <w:rPr>
          <w:rFonts w:ascii="Times New Roman" w:hAnsi="Times New Roman" w:cs="Times New Roman"/>
          <w:sz w:val="24"/>
          <w:szCs w:val="24"/>
          <w:lang w:val="en-US"/>
        </w:rPr>
        <w:tab/>
        <w:t>17</w:t>
      </w:r>
      <w:r w:rsidR="00E55547">
        <w:rPr>
          <w:rFonts w:ascii="Times New Roman" w:hAnsi="Times New Roman" w:cs="Times New Roman"/>
          <w:sz w:val="24"/>
          <w:szCs w:val="24"/>
          <w:lang w:val="en-US"/>
        </w:rPr>
        <w:t>0</w:t>
      </w:r>
    </w:p>
    <w:p w:rsidR="00804186" w:rsidRDefault="002651D3" w:rsidP="00804186">
      <w:pPr>
        <w:tabs>
          <w:tab w:val="left" w:pos="1701"/>
          <w:tab w:val="left" w:pos="4678"/>
          <w:tab w:val="left" w:pos="666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Country B</w:t>
      </w:r>
      <w:r>
        <w:rPr>
          <w:rFonts w:ascii="Times New Roman" w:hAnsi="Times New Roman" w:cs="Times New Roman"/>
          <w:sz w:val="24"/>
          <w:szCs w:val="24"/>
          <w:lang w:val="en-US"/>
        </w:rPr>
        <w:tab/>
        <w:t>250</w:t>
      </w:r>
      <w:r>
        <w:rPr>
          <w:rFonts w:ascii="Times New Roman" w:hAnsi="Times New Roman" w:cs="Times New Roman"/>
          <w:sz w:val="24"/>
          <w:szCs w:val="24"/>
          <w:lang w:val="en-US"/>
        </w:rPr>
        <w:tab/>
        <w:t>&lt; 17</w:t>
      </w:r>
      <w:r w:rsidR="00DC4490">
        <w:rPr>
          <w:rFonts w:ascii="Times New Roman" w:hAnsi="Times New Roman" w:cs="Times New Roman"/>
          <w:sz w:val="24"/>
          <w:szCs w:val="24"/>
          <w:lang w:val="en-US"/>
        </w:rPr>
        <w:t>0</w:t>
      </w:r>
    </w:p>
    <w:p w:rsidR="00804186" w:rsidRDefault="00804186"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___________________________________________________________________________ </w:t>
      </w:r>
    </w:p>
    <w:p w:rsidR="00804186" w:rsidRDefault="00804186" w:rsidP="00804186">
      <w:pPr>
        <w:spacing w:after="0" w:line="360" w:lineRule="auto"/>
        <w:jc w:val="both"/>
        <w:rPr>
          <w:rFonts w:ascii="Times New Roman" w:hAnsi="Times New Roman" w:cs="Times New Roman"/>
          <w:sz w:val="24"/>
          <w:szCs w:val="24"/>
          <w:lang w:val="en-US"/>
        </w:rPr>
      </w:pPr>
    </w:p>
    <w:p w:rsidR="00804186" w:rsidRDefault="00804186"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data for type A countries </w:t>
      </w:r>
      <w:r w:rsidR="00E55547">
        <w:rPr>
          <w:rFonts w:ascii="Times New Roman" w:hAnsi="Times New Roman" w:cs="Times New Roman"/>
          <w:sz w:val="24"/>
          <w:szCs w:val="24"/>
          <w:lang w:val="en-US"/>
        </w:rPr>
        <w:t xml:space="preserve">with </w:t>
      </w:r>
      <w:r w:rsidR="00E55547" w:rsidRPr="00DC4490">
        <w:rPr>
          <w:rFonts w:ascii="Times New Roman" w:hAnsi="Times New Roman" w:cs="Times New Roman"/>
          <w:i/>
          <w:sz w:val="24"/>
          <w:szCs w:val="24"/>
          <w:lang w:val="en-US"/>
        </w:rPr>
        <w:t>S</w:t>
      </w:r>
      <w:r w:rsidR="00E55547">
        <w:rPr>
          <w:rFonts w:ascii="Times New Roman" w:hAnsi="Times New Roman" w:cs="Times New Roman"/>
          <w:sz w:val="24"/>
          <w:szCs w:val="24"/>
          <w:lang w:val="en-US"/>
        </w:rPr>
        <w:t xml:space="preserve"> = 100 and type B countries with </w:t>
      </w:r>
      <w:r w:rsidR="00E55547" w:rsidRPr="00DC4490">
        <w:rPr>
          <w:rFonts w:ascii="Times New Roman" w:hAnsi="Times New Roman" w:cs="Times New Roman"/>
          <w:i/>
          <w:sz w:val="24"/>
          <w:szCs w:val="24"/>
          <w:lang w:val="en-US"/>
        </w:rPr>
        <w:t>S</w:t>
      </w:r>
      <w:r w:rsidR="00F612E9">
        <w:rPr>
          <w:rFonts w:ascii="Times New Roman" w:hAnsi="Times New Roman" w:cs="Times New Roman"/>
          <w:sz w:val="24"/>
          <w:szCs w:val="24"/>
          <w:lang w:val="en-US"/>
        </w:rPr>
        <w:t xml:space="preserve"> = 50 is taken from equation (10</w:t>
      </w:r>
      <w:r w:rsidR="00E55547">
        <w:rPr>
          <w:rFonts w:ascii="Times New Roman" w:hAnsi="Times New Roman" w:cs="Times New Roman"/>
          <w:sz w:val="24"/>
          <w:szCs w:val="24"/>
          <w:lang w:val="en-US"/>
        </w:rPr>
        <w:t xml:space="preserve">) with the other </w:t>
      </w:r>
      <w:proofErr w:type="spellStart"/>
      <w:r w:rsidR="00E55547">
        <w:rPr>
          <w:rFonts w:ascii="Times New Roman" w:hAnsi="Times New Roman" w:cs="Times New Roman"/>
          <w:sz w:val="24"/>
          <w:szCs w:val="24"/>
          <w:lang w:val="en-US"/>
        </w:rPr>
        <w:t>regressors</w:t>
      </w:r>
      <w:proofErr w:type="spellEnd"/>
      <w:r w:rsidR="00E55547">
        <w:rPr>
          <w:rFonts w:ascii="Times New Roman" w:hAnsi="Times New Roman" w:cs="Times New Roman"/>
          <w:sz w:val="24"/>
          <w:szCs w:val="24"/>
          <w:lang w:val="en-US"/>
        </w:rPr>
        <w:t xml:space="preserve"> fixed at their average values (</w:t>
      </w:r>
      <w:r w:rsidR="00E55547" w:rsidRPr="00DC4490">
        <w:rPr>
          <w:rFonts w:ascii="Times New Roman" w:hAnsi="Times New Roman" w:cs="Times New Roman"/>
          <w:i/>
          <w:sz w:val="24"/>
          <w:szCs w:val="24"/>
          <w:lang w:val="en-US"/>
        </w:rPr>
        <w:t>PD</w:t>
      </w:r>
      <w:r w:rsidR="00E55547">
        <w:rPr>
          <w:rFonts w:ascii="Times New Roman" w:hAnsi="Times New Roman" w:cs="Times New Roman"/>
          <w:sz w:val="24"/>
          <w:szCs w:val="24"/>
          <w:lang w:val="en-US"/>
        </w:rPr>
        <w:t xml:space="preserve"> = 0.313 and </w:t>
      </w:r>
      <w:r w:rsidR="00E55547" w:rsidRPr="00DC4490">
        <w:rPr>
          <w:rFonts w:ascii="Times New Roman" w:hAnsi="Times New Roman" w:cs="Times New Roman"/>
          <w:i/>
          <w:sz w:val="24"/>
          <w:szCs w:val="24"/>
          <w:lang w:val="en-US"/>
        </w:rPr>
        <w:t>FD</w:t>
      </w:r>
      <w:r w:rsidR="00E55547">
        <w:rPr>
          <w:rFonts w:ascii="Times New Roman" w:hAnsi="Times New Roman" w:cs="Times New Roman"/>
          <w:sz w:val="24"/>
          <w:szCs w:val="24"/>
          <w:lang w:val="en-US"/>
        </w:rPr>
        <w:t xml:space="preserve"> = 28).  The death rate for type A </w:t>
      </w:r>
      <w:r w:rsidR="002651D3">
        <w:rPr>
          <w:rFonts w:ascii="Times New Roman" w:hAnsi="Times New Roman" w:cs="Times New Roman"/>
          <w:sz w:val="24"/>
          <w:szCs w:val="24"/>
          <w:lang w:val="en-US"/>
        </w:rPr>
        <w:t>countries under mitigation (2,040</w:t>
      </w:r>
      <w:r w:rsidR="00E55547">
        <w:rPr>
          <w:rFonts w:ascii="Times New Roman" w:hAnsi="Times New Roman" w:cs="Times New Roman"/>
          <w:sz w:val="24"/>
          <w:szCs w:val="24"/>
          <w:lang w:val="en-US"/>
        </w:rPr>
        <w:t>) is 12 times that of their death rate under extreme lockdown, with the multiple reflecting</w:t>
      </w:r>
      <w:r>
        <w:rPr>
          <w:rFonts w:ascii="Times New Roman" w:hAnsi="Times New Roman" w:cs="Times New Roman"/>
          <w:sz w:val="24"/>
          <w:szCs w:val="24"/>
          <w:lang w:val="en-US"/>
        </w:rPr>
        <w:t xml:space="preserve"> the predictions of Ferguson et al (2020) for the UK, i.e., 20,000 deaths under suppression (which is 300 per 1m of the UK’s population of 68m) and 250,000 deaths under mitigation (which is 3,700 per 1m of the UK’s po</w:t>
      </w:r>
      <w:r w:rsidR="00F476E3">
        <w:rPr>
          <w:rFonts w:ascii="Times New Roman" w:hAnsi="Times New Roman" w:cs="Times New Roman"/>
          <w:sz w:val="24"/>
          <w:szCs w:val="24"/>
          <w:lang w:val="en-US"/>
        </w:rPr>
        <w:t>pulation).  Type A countries ch</w:t>
      </w:r>
      <w:r>
        <w:rPr>
          <w:rFonts w:ascii="Times New Roman" w:hAnsi="Times New Roman" w:cs="Times New Roman"/>
          <w:sz w:val="24"/>
          <w:szCs w:val="24"/>
          <w:lang w:val="en-US"/>
        </w:rPr>
        <w:t xml:space="preserve">ose </w:t>
      </w:r>
      <w:r w:rsidRPr="00F4307A">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 because the </w:t>
      </w:r>
      <w:r w:rsidR="00DC4490">
        <w:rPr>
          <w:rFonts w:ascii="Times New Roman" w:hAnsi="Times New Roman" w:cs="Times New Roman"/>
          <w:sz w:val="24"/>
          <w:szCs w:val="24"/>
          <w:lang w:val="en-US"/>
        </w:rPr>
        <w:t xml:space="preserve">expected </w:t>
      </w:r>
      <w:r>
        <w:rPr>
          <w:rFonts w:ascii="Times New Roman" w:hAnsi="Times New Roman" w:cs="Times New Roman"/>
          <w:sz w:val="24"/>
          <w:szCs w:val="24"/>
          <w:lang w:val="en-US"/>
        </w:rPr>
        <w:t xml:space="preserve">death rate is unacceptably high with </w:t>
      </w:r>
      <w:r w:rsidRPr="003F34D6">
        <w:rPr>
          <w:rFonts w:ascii="Times New Roman" w:hAnsi="Times New Roman" w:cs="Times New Roman"/>
          <w:i/>
          <w:sz w:val="24"/>
          <w:szCs w:val="24"/>
          <w:lang w:val="en-US"/>
        </w:rPr>
        <w:t>S</w:t>
      </w:r>
      <w:r>
        <w:rPr>
          <w:rFonts w:ascii="Times New Roman" w:hAnsi="Times New Roman" w:cs="Times New Roman"/>
          <w:sz w:val="24"/>
          <w:szCs w:val="24"/>
          <w:lang w:val="en-US"/>
        </w:rPr>
        <w:t xml:space="preserve"> = 50.  Type B countries have much lower expected death rates than type A countries under both mitigatio</w:t>
      </w:r>
      <w:r w:rsidR="00F476E3">
        <w:rPr>
          <w:rFonts w:ascii="Times New Roman" w:hAnsi="Times New Roman" w:cs="Times New Roman"/>
          <w:sz w:val="24"/>
          <w:szCs w:val="24"/>
          <w:lang w:val="en-US"/>
        </w:rPr>
        <w:t>n and extreme lockdown, and cho</w:t>
      </w:r>
      <w:r>
        <w:rPr>
          <w:rFonts w:ascii="Times New Roman" w:hAnsi="Times New Roman" w:cs="Times New Roman"/>
          <w:sz w:val="24"/>
          <w:szCs w:val="24"/>
          <w:lang w:val="en-US"/>
        </w:rPr>
        <w:t xml:space="preserve">se </w:t>
      </w:r>
      <w:r w:rsidRPr="003F34D6">
        <w:rPr>
          <w:rFonts w:ascii="Times New Roman" w:hAnsi="Times New Roman" w:cs="Times New Roman"/>
          <w:i/>
          <w:sz w:val="24"/>
          <w:szCs w:val="24"/>
          <w:lang w:val="en-US"/>
        </w:rPr>
        <w:t>S</w:t>
      </w:r>
      <w:r>
        <w:rPr>
          <w:rFonts w:ascii="Times New Roman" w:hAnsi="Times New Roman" w:cs="Times New Roman"/>
          <w:sz w:val="24"/>
          <w:szCs w:val="24"/>
          <w:lang w:val="en-US"/>
        </w:rPr>
        <w:t xml:space="preserve"> = 50 because the expected death rate in that scenario is acceptable.</w:t>
      </w:r>
      <w:r>
        <w:rPr>
          <w:rStyle w:val="FootnoteReference"/>
          <w:rFonts w:ascii="Times New Roman" w:hAnsi="Times New Roman" w:cs="Times New Roman"/>
          <w:sz w:val="24"/>
          <w:szCs w:val="24"/>
          <w:lang w:val="en-US"/>
        </w:rPr>
        <w:footnoteReference w:id="35"/>
      </w:r>
      <w:r>
        <w:rPr>
          <w:rFonts w:ascii="Times New Roman" w:hAnsi="Times New Roman" w:cs="Times New Roman"/>
          <w:sz w:val="24"/>
          <w:szCs w:val="24"/>
          <w:lang w:val="en-US"/>
        </w:rPr>
        <w:t xml:space="preserve">  If the governments’ predictions are on average accurate, then the outcomes would be as follows:</w:t>
      </w:r>
    </w:p>
    <w:p w:rsidR="00DC4490" w:rsidRDefault="00DC4490" w:rsidP="00804186">
      <w:pPr>
        <w:spacing w:after="0" w:line="360" w:lineRule="auto"/>
        <w:jc w:val="both"/>
        <w:rPr>
          <w:rFonts w:ascii="Times New Roman" w:hAnsi="Times New Roman" w:cs="Times New Roman"/>
          <w:sz w:val="24"/>
          <w:szCs w:val="24"/>
          <w:lang w:val="en-US"/>
        </w:rPr>
      </w:pPr>
    </w:p>
    <w:p w:rsidR="00804186" w:rsidRDefault="00804186" w:rsidP="00804186">
      <w:pPr>
        <w:tabs>
          <w:tab w:val="left" w:pos="2835"/>
          <w:tab w:val="left" w:pos="482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Type A countries: </w:t>
      </w:r>
      <w:r>
        <w:rPr>
          <w:rFonts w:ascii="Times New Roman" w:hAnsi="Times New Roman" w:cs="Times New Roman"/>
          <w:sz w:val="24"/>
          <w:szCs w:val="24"/>
          <w:lang w:val="en-US"/>
        </w:rPr>
        <w:tab/>
      </w:r>
      <w:r w:rsidRPr="008C28CD">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 and </w:t>
      </w:r>
      <w:r w:rsidRPr="008C28CD">
        <w:rPr>
          <w:rFonts w:ascii="Times New Roman" w:hAnsi="Times New Roman" w:cs="Times New Roman"/>
          <w:i/>
          <w:sz w:val="24"/>
          <w:szCs w:val="24"/>
          <w:lang w:val="en-US"/>
        </w:rPr>
        <w:t>D</w:t>
      </w:r>
      <w:r w:rsidR="002651D3">
        <w:rPr>
          <w:rFonts w:ascii="Times New Roman" w:hAnsi="Times New Roman" w:cs="Times New Roman"/>
          <w:sz w:val="24"/>
          <w:szCs w:val="24"/>
          <w:lang w:val="en-US"/>
        </w:rPr>
        <w:t xml:space="preserve"> = 17</w:t>
      </w:r>
      <w:r w:rsidR="003A5438">
        <w:rPr>
          <w:rFonts w:ascii="Times New Roman" w:hAnsi="Times New Roman" w:cs="Times New Roman"/>
          <w:sz w:val="24"/>
          <w:szCs w:val="24"/>
          <w:lang w:val="en-US"/>
        </w:rPr>
        <w:t>0</w:t>
      </w:r>
      <w:r>
        <w:rPr>
          <w:rFonts w:ascii="Times New Roman" w:hAnsi="Times New Roman" w:cs="Times New Roman"/>
          <w:sz w:val="24"/>
          <w:szCs w:val="24"/>
          <w:lang w:val="en-US"/>
        </w:rPr>
        <w:t xml:space="preserve"> on average</w:t>
      </w:r>
    </w:p>
    <w:p w:rsidR="00804186" w:rsidRDefault="00804186" w:rsidP="00804186">
      <w:pPr>
        <w:tabs>
          <w:tab w:val="left" w:pos="2835"/>
          <w:tab w:val="left" w:pos="482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Type B countries: </w:t>
      </w:r>
      <w:r>
        <w:rPr>
          <w:rFonts w:ascii="Times New Roman" w:hAnsi="Times New Roman" w:cs="Times New Roman"/>
          <w:sz w:val="24"/>
          <w:szCs w:val="24"/>
          <w:lang w:val="en-US"/>
        </w:rPr>
        <w:tab/>
      </w:r>
      <w:r w:rsidRPr="008C28CD">
        <w:rPr>
          <w:rFonts w:ascii="Times New Roman" w:hAnsi="Times New Roman" w:cs="Times New Roman"/>
          <w:i/>
          <w:sz w:val="24"/>
          <w:szCs w:val="24"/>
          <w:lang w:val="en-US"/>
        </w:rPr>
        <w:t>S</w:t>
      </w:r>
      <w:r>
        <w:rPr>
          <w:rFonts w:ascii="Times New Roman" w:hAnsi="Times New Roman" w:cs="Times New Roman"/>
          <w:sz w:val="24"/>
          <w:szCs w:val="24"/>
          <w:lang w:val="en-US"/>
        </w:rPr>
        <w:t xml:space="preserve"> = 50 and </w:t>
      </w:r>
      <w:r w:rsidRPr="008C28CD">
        <w:rPr>
          <w:rFonts w:ascii="Times New Roman" w:hAnsi="Times New Roman" w:cs="Times New Roman"/>
          <w:i/>
          <w:sz w:val="24"/>
          <w:szCs w:val="24"/>
          <w:lang w:val="en-US"/>
        </w:rPr>
        <w:t>D</w:t>
      </w:r>
      <w:r w:rsidR="002651D3">
        <w:rPr>
          <w:rFonts w:ascii="Times New Roman" w:hAnsi="Times New Roman" w:cs="Times New Roman"/>
          <w:sz w:val="24"/>
          <w:szCs w:val="24"/>
          <w:lang w:val="en-US"/>
        </w:rPr>
        <w:t xml:space="preserve"> = 25</w:t>
      </w:r>
      <w:r w:rsidR="003A5438">
        <w:rPr>
          <w:rFonts w:ascii="Times New Roman" w:hAnsi="Times New Roman" w:cs="Times New Roman"/>
          <w:sz w:val="24"/>
          <w:szCs w:val="24"/>
          <w:lang w:val="en-US"/>
        </w:rPr>
        <w:t>0</w:t>
      </w:r>
      <w:r>
        <w:rPr>
          <w:rFonts w:ascii="Times New Roman" w:hAnsi="Times New Roman" w:cs="Times New Roman"/>
          <w:sz w:val="24"/>
          <w:szCs w:val="24"/>
          <w:lang w:val="en-US"/>
        </w:rPr>
        <w:t xml:space="preserve"> on average</w:t>
      </w:r>
    </w:p>
    <w:p w:rsidR="00804186" w:rsidRDefault="00804186" w:rsidP="00804186">
      <w:pPr>
        <w:spacing w:after="0" w:line="360" w:lineRule="auto"/>
        <w:jc w:val="both"/>
        <w:rPr>
          <w:rFonts w:ascii="Times New Roman" w:hAnsi="Times New Roman" w:cs="Times New Roman"/>
          <w:sz w:val="24"/>
          <w:szCs w:val="24"/>
          <w:lang w:val="en-US"/>
        </w:rPr>
      </w:pPr>
    </w:p>
    <w:p w:rsidR="00804186" w:rsidRDefault="00804186"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Regressing </w:t>
      </w:r>
      <w:r w:rsidRPr="00803E6A">
        <w:rPr>
          <w:rFonts w:ascii="Times New Roman" w:hAnsi="Times New Roman" w:cs="Times New Roman"/>
          <w:i/>
          <w:sz w:val="24"/>
          <w:szCs w:val="24"/>
          <w:lang w:val="en-US"/>
        </w:rPr>
        <w:t>D</w:t>
      </w:r>
      <w:r>
        <w:rPr>
          <w:rFonts w:ascii="Times New Roman" w:hAnsi="Times New Roman" w:cs="Times New Roman"/>
          <w:sz w:val="24"/>
          <w:szCs w:val="24"/>
          <w:lang w:val="en-US"/>
        </w:rPr>
        <w:t xml:space="preserve"> on </w:t>
      </w:r>
      <w:r w:rsidRPr="00803E6A">
        <w:rPr>
          <w:rFonts w:ascii="Times New Roman" w:hAnsi="Times New Roman" w:cs="Times New Roman"/>
          <w:i/>
          <w:sz w:val="24"/>
          <w:szCs w:val="24"/>
          <w:lang w:val="en-US"/>
        </w:rPr>
        <w:t>S</w:t>
      </w:r>
      <w:r>
        <w:rPr>
          <w:rFonts w:ascii="Times New Roman" w:hAnsi="Times New Roman" w:cs="Times New Roman"/>
          <w:sz w:val="24"/>
          <w:szCs w:val="24"/>
          <w:lang w:val="en-US"/>
        </w:rPr>
        <w:t xml:space="preserve"> would then yield a coefficient on </w:t>
      </w:r>
      <w:r w:rsidRPr="00803E6A">
        <w:rPr>
          <w:rFonts w:ascii="Times New Roman" w:hAnsi="Times New Roman" w:cs="Times New Roman"/>
          <w:i/>
          <w:sz w:val="24"/>
          <w:szCs w:val="24"/>
          <w:lang w:val="en-US"/>
        </w:rPr>
        <w:t>S</w:t>
      </w:r>
      <w:r w:rsidR="002651D3">
        <w:rPr>
          <w:rFonts w:ascii="Times New Roman" w:hAnsi="Times New Roman" w:cs="Times New Roman"/>
          <w:sz w:val="24"/>
          <w:szCs w:val="24"/>
          <w:lang w:val="en-US"/>
        </w:rPr>
        <w:t xml:space="preserve"> of -1.6</w:t>
      </w:r>
      <w:r>
        <w:rPr>
          <w:rFonts w:ascii="Times New Roman" w:hAnsi="Times New Roman" w:cs="Times New Roman"/>
          <w:sz w:val="24"/>
          <w:szCs w:val="24"/>
          <w:lang w:val="en-US"/>
        </w:rPr>
        <w:t xml:space="preserve">, consistent with the regression result </w:t>
      </w:r>
      <w:r w:rsidR="00F612E9">
        <w:rPr>
          <w:rFonts w:ascii="Times New Roman" w:hAnsi="Times New Roman" w:cs="Times New Roman"/>
          <w:sz w:val="24"/>
          <w:szCs w:val="24"/>
          <w:lang w:val="en-US"/>
        </w:rPr>
        <w:t>shown in equation (10</w:t>
      </w:r>
      <w:r>
        <w:rPr>
          <w:rFonts w:ascii="Times New Roman" w:hAnsi="Times New Roman" w:cs="Times New Roman"/>
          <w:sz w:val="24"/>
          <w:szCs w:val="24"/>
          <w:lang w:val="en-US"/>
        </w:rPr>
        <w:t xml:space="preserve">).  However, the real coefficients on </w:t>
      </w:r>
      <w:r w:rsidRPr="00803E6A">
        <w:rPr>
          <w:rFonts w:ascii="Times New Roman" w:hAnsi="Times New Roman" w:cs="Times New Roman"/>
          <w:i/>
          <w:sz w:val="24"/>
          <w:szCs w:val="24"/>
          <w:lang w:val="en-US"/>
        </w:rPr>
        <w:t>S</w:t>
      </w:r>
      <w:r>
        <w:rPr>
          <w:rFonts w:ascii="Times New Roman" w:hAnsi="Times New Roman" w:cs="Times New Roman"/>
          <w:sz w:val="24"/>
          <w:szCs w:val="24"/>
          <w:lang w:val="en-US"/>
        </w:rPr>
        <w:t xml:space="preserve"> are mu</w:t>
      </w:r>
      <w:r w:rsidR="00DC4490">
        <w:rPr>
          <w:rFonts w:ascii="Times New Roman" w:hAnsi="Times New Roman" w:cs="Times New Roman"/>
          <w:sz w:val="24"/>
          <w:szCs w:val="24"/>
          <w:lang w:val="en-US"/>
        </w:rPr>
        <w:t xml:space="preserve">ch </w:t>
      </w:r>
      <w:r w:rsidR="00814F26">
        <w:rPr>
          <w:rFonts w:ascii="Times New Roman" w:hAnsi="Times New Roman" w:cs="Times New Roman"/>
          <w:sz w:val="24"/>
          <w:szCs w:val="24"/>
          <w:lang w:val="en-US"/>
        </w:rPr>
        <w:t>lower</w:t>
      </w:r>
      <w:r w:rsidR="002651D3">
        <w:rPr>
          <w:rFonts w:ascii="Times New Roman" w:hAnsi="Times New Roman" w:cs="Times New Roman"/>
          <w:sz w:val="24"/>
          <w:szCs w:val="24"/>
          <w:lang w:val="en-US"/>
        </w:rPr>
        <w:t>, most particularly -37</w:t>
      </w:r>
      <w:r w:rsidR="00DC4490">
        <w:rPr>
          <w:rFonts w:ascii="Times New Roman" w:hAnsi="Times New Roman" w:cs="Times New Roman"/>
          <w:sz w:val="24"/>
          <w:szCs w:val="24"/>
          <w:lang w:val="en-US"/>
        </w:rPr>
        <w:t>.0</w:t>
      </w:r>
      <w:r>
        <w:rPr>
          <w:rFonts w:ascii="Times New Roman" w:hAnsi="Times New Roman" w:cs="Times New Roman"/>
          <w:sz w:val="24"/>
          <w:szCs w:val="24"/>
          <w:lang w:val="en-US"/>
        </w:rPr>
        <w:t xml:space="preserve"> for type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countries.  Thus, the regression coefficient on </w:t>
      </w:r>
      <w:r w:rsidRPr="00822FD8">
        <w:rPr>
          <w:rFonts w:ascii="Times New Roman" w:hAnsi="Times New Roman" w:cs="Times New Roman"/>
          <w:i/>
          <w:sz w:val="24"/>
          <w:szCs w:val="24"/>
          <w:lang w:val="en-US"/>
        </w:rPr>
        <w:t>S</w:t>
      </w:r>
      <w:r>
        <w:rPr>
          <w:rFonts w:ascii="Times New Roman" w:hAnsi="Times New Roman" w:cs="Times New Roman"/>
          <w:sz w:val="24"/>
          <w:szCs w:val="24"/>
          <w:lang w:val="en-US"/>
        </w:rPr>
        <w:t xml:space="preserve"> would be </w:t>
      </w:r>
      <w:r w:rsidR="00F57331">
        <w:rPr>
          <w:rFonts w:ascii="Times New Roman" w:hAnsi="Times New Roman" w:cs="Times New Roman"/>
          <w:sz w:val="24"/>
          <w:szCs w:val="24"/>
          <w:lang w:val="en-US"/>
        </w:rPr>
        <w:t>biased upwards</w:t>
      </w:r>
      <w:r>
        <w:rPr>
          <w:rFonts w:ascii="Times New Roman" w:hAnsi="Times New Roman" w:cs="Times New Roman"/>
          <w:sz w:val="24"/>
          <w:szCs w:val="24"/>
          <w:lang w:val="en-US"/>
        </w:rPr>
        <w:t>.</w:t>
      </w:r>
    </w:p>
    <w:p w:rsidR="00DC4490" w:rsidRDefault="00DC4490" w:rsidP="00804186">
      <w:pPr>
        <w:spacing w:after="0" w:line="360" w:lineRule="auto"/>
        <w:jc w:val="both"/>
        <w:rPr>
          <w:rFonts w:ascii="Times New Roman" w:hAnsi="Times New Roman" w:cs="Times New Roman"/>
          <w:sz w:val="24"/>
          <w:szCs w:val="24"/>
          <w:lang w:val="en-US"/>
        </w:rPr>
      </w:pPr>
    </w:p>
    <w:p w:rsidR="00804186" w:rsidRDefault="00804186"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plausible that </w:t>
      </w:r>
      <w:r w:rsidR="00DC4490">
        <w:rPr>
          <w:rFonts w:ascii="Times New Roman" w:hAnsi="Times New Roman" w:cs="Times New Roman"/>
          <w:sz w:val="24"/>
          <w:szCs w:val="24"/>
          <w:lang w:val="en-US"/>
        </w:rPr>
        <w:t xml:space="preserve">some </w:t>
      </w:r>
      <w:r>
        <w:rPr>
          <w:rFonts w:ascii="Times New Roman" w:hAnsi="Times New Roman" w:cs="Times New Roman"/>
          <w:sz w:val="24"/>
          <w:szCs w:val="24"/>
          <w:lang w:val="en-US"/>
        </w:rPr>
        <w:t xml:space="preserve">governments </w:t>
      </w:r>
      <w:r w:rsidR="00DC4490">
        <w:rPr>
          <w:rFonts w:ascii="Times New Roman" w:hAnsi="Times New Roman" w:cs="Times New Roman"/>
          <w:sz w:val="24"/>
          <w:szCs w:val="24"/>
          <w:lang w:val="en-US"/>
        </w:rPr>
        <w:t xml:space="preserve">believed that their death rate under mitigation would be both large and vastly in excess of their death rate under extreme lockdown, </w:t>
      </w:r>
      <w:r w:rsidR="00244851">
        <w:rPr>
          <w:rFonts w:ascii="Times New Roman" w:hAnsi="Times New Roman" w:cs="Times New Roman"/>
          <w:sz w:val="24"/>
          <w:szCs w:val="24"/>
          <w:lang w:val="en-US"/>
        </w:rPr>
        <w:t>as shown in Table 5</w:t>
      </w:r>
      <w:r w:rsidR="0049717F">
        <w:rPr>
          <w:rFonts w:ascii="Times New Roman" w:hAnsi="Times New Roman" w:cs="Times New Roman"/>
          <w:sz w:val="24"/>
          <w:szCs w:val="24"/>
          <w:lang w:val="en-US"/>
        </w:rPr>
        <w:t>, and acted accordingly</w:t>
      </w:r>
      <w:r w:rsidR="00BB46BC">
        <w:rPr>
          <w:rFonts w:ascii="Times New Roman" w:hAnsi="Times New Roman" w:cs="Times New Roman"/>
          <w:sz w:val="24"/>
          <w:szCs w:val="24"/>
          <w:lang w:val="en-US"/>
        </w:rPr>
        <w:t xml:space="preserve"> in accordance with the predictions of </w:t>
      </w:r>
      <w:r w:rsidR="007C5A10">
        <w:rPr>
          <w:rFonts w:ascii="Times New Roman" w:hAnsi="Times New Roman" w:cs="Times New Roman"/>
          <w:sz w:val="24"/>
          <w:szCs w:val="24"/>
          <w:lang w:val="en-US"/>
        </w:rPr>
        <w:t xml:space="preserve">experts </w:t>
      </w:r>
      <w:r w:rsidR="00BB46BC">
        <w:rPr>
          <w:rFonts w:ascii="Times New Roman" w:hAnsi="Times New Roman" w:cs="Times New Roman"/>
          <w:sz w:val="24"/>
          <w:szCs w:val="24"/>
          <w:lang w:val="en-US"/>
        </w:rPr>
        <w:t>like Ferguson et al (2020)</w:t>
      </w:r>
      <w:r>
        <w:rPr>
          <w:rFonts w:ascii="Times New Roman" w:hAnsi="Times New Roman" w:cs="Times New Roman"/>
          <w:sz w:val="24"/>
          <w:szCs w:val="24"/>
          <w:lang w:val="en-US"/>
        </w:rPr>
        <w:t xml:space="preserve">.  It is also plausible that </w:t>
      </w:r>
      <w:r w:rsidR="0049717F">
        <w:rPr>
          <w:rFonts w:ascii="Times New Roman" w:hAnsi="Times New Roman" w:cs="Times New Roman"/>
          <w:sz w:val="24"/>
          <w:szCs w:val="24"/>
          <w:lang w:val="en-US"/>
        </w:rPr>
        <w:t xml:space="preserve">other </w:t>
      </w:r>
      <w:r>
        <w:rPr>
          <w:rFonts w:ascii="Times New Roman" w:hAnsi="Times New Roman" w:cs="Times New Roman"/>
          <w:sz w:val="24"/>
          <w:szCs w:val="24"/>
          <w:lang w:val="en-US"/>
        </w:rPr>
        <w:t xml:space="preserve">governments believed that their death rates </w:t>
      </w:r>
      <w:r w:rsidR="0049717F">
        <w:rPr>
          <w:rFonts w:ascii="Times New Roman" w:hAnsi="Times New Roman" w:cs="Times New Roman"/>
          <w:sz w:val="24"/>
          <w:szCs w:val="24"/>
          <w:lang w:val="en-US"/>
        </w:rPr>
        <w:t xml:space="preserve">under mitigation would be much lower, </w:t>
      </w:r>
      <w:r>
        <w:rPr>
          <w:rFonts w:ascii="Times New Roman" w:hAnsi="Times New Roman" w:cs="Times New Roman"/>
          <w:sz w:val="24"/>
          <w:szCs w:val="24"/>
          <w:lang w:val="en-US"/>
        </w:rPr>
        <w:t xml:space="preserve">as shown in </w:t>
      </w:r>
      <w:r w:rsidR="00273199">
        <w:rPr>
          <w:rFonts w:ascii="Times New Roman" w:hAnsi="Times New Roman" w:cs="Times New Roman"/>
          <w:sz w:val="24"/>
          <w:szCs w:val="24"/>
          <w:lang w:val="en-US"/>
        </w:rPr>
        <w:t>Table 6</w:t>
      </w:r>
      <w:r>
        <w:rPr>
          <w:rFonts w:ascii="Times New Roman" w:hAnsi="Times New Roman" w:cs="Times New Roman"/>
          <w:sz w:val="24"/>
          <w:szCs w:val="24"/>
          <w:lang w:val="en-US"/>
        </w:rPr>
        <w:t>, and acted accordingly</w:t>
      </w:r>
      <w:r w:rsidR="0049717F">
        <w:rPr>
          <w:rFonts w:ascii="Times New Roman" w:hAnsi="Times New Roman" w:cs="Times New Roman"/>
          <w:sz w:val="24"/>
          <w:szCs w:val="24"/>
          <w:lang w:val="en-US"/>
        </w:rPr>
        <w:t xml:space="preserve"> </w:t>
      </w:r>
      <w:r w:rsidR="000D4D0A">
        <w:rPr>
          <w:rFonts w:ascii="Times New Roman" w:hAnsi="Times New Roman" w:cs="Times New Roman"/>
          <w:sz w:val="24"/>
          <w:szCs w:val="24"/>
          <w:lang w:val="en-US"/>
        </w:rPr>
        <w:t>in accordance with contrary e</w:t>
      </w:r>
      <w:r w:rsidR="0049717F">
        <w:rPr>
          <w:rFonts w:ascii="Times New Roman" w:hAnsi="Times New Roman" w:cs="Times New Roman"/>
          <w:sz w:val="24"/>
          <w:szCs w:val="24"/>
          <w:lang w:val="en-US"/>
        </w:rPr>
        <w:t>xpert opin</w:t>
      </w:r>
      <w:r w:rsidR="000D4D0A">
        <w:rPr>
          <w:rFonts w:ascii="Times New Roman" w:hAnsi="Times New Roman" w:cs="Times New Roman"/>
          <w:sz w:val="24"/>
          <w:szCs w:val="24"/>
          <w:lang w:val="en-US"/>
        </w:rPr>
        <w:t>ions</w:t>
      </w:r>
      <w:r>
        <w:rPr>
          <w:rFonts w:ascii="Times New Roman" w:hAnsi="Times New Roman" w:cs="Times New Roman"/>
          <w:sz w:val="24"/>
          <w:szCs w:val="24"/>
          <w:lang w:val="en-US"/>
        </w:rPr>
        <w:t>.</w:t>
      </w:r>
      <w:r w:rsidR="00F32B44">
        <w:rPr>
          <w:rStyle w:val="FootnoteReference"/>
          <w:rFonts w:ascii="Times New Roman" w:hAnsi="Times New Roman" w:cs="Times New Roman"/>
          <w:sz w:val="24"/>
          <w:szCs w:val="24"/>
          <w:lang w:val="en-US"/>
        </w:rPr>
        <w:footnoteReference w:id="36"/>
      </w:r>
      <w:r>
        <w:rPr>
          <w:rFonts w:ascii="Times New Roman" w:hAnsi="Times New Roman" w:cs="Times New Roman"/>
          <w:sz w:val="24"/>
          <w:szCs w:val="24"/>
          <w:lang w:val="en-US"/>
        </w:rPr>
        <w:t xml:space="preserve">  However, </w:t>
      </w:r>
      <w:r w:rsidR="00845E38">
        <w:rPr>
          <w:rFonts w:ascii="Times New Roman" w:hAnsi="Times New Roman" w:cs="Times New Roman"/>
          <w:sz w:val="24"/>
          <w:szCs w:val="24"/>
          <w:lang w:val="en-US"/>
        </w:rPr>
        <w:t xml:space="preserve">both types of governments’ </w:t>
      </w:r>
      <w:r>
        <w:rPr>
          <w:rFonts w:ascii="Times New Roman" w:hAnsi="Times New Roman" w:cs="Times New Roman"/>
          <w:sz w:val="24"/>
          <w:szCs w:val="24"/>
          <w:lang w:val="en-US"/>
        </w:rPr>
        <w:t xml:space="preserve">beliefs would need to be (on average) correct in order to be compatible with the coefficient on </w:t>
      </w:r>
      <w:r w:rsidRPr="005D6140">
        <w:rPr>
          <w:rFonts w:ascii="Times New Roman" w:hAnsi="Times New Roman" w:cs="Times New Roman"/>
          <w:i/>
          <w:sz w:val="24"/>
          <w:szCs w:val="24"/>
          <w:lang w:val="en-US"/>
        </w:rPr>
        <w:t>S</w:t>
      </w:r>
      <w:r w:rsidR="00A2594F">
        <w:rPr>
          <w:rFonts w:ascii="Times New Roman" w:hAnsi="Times New Roman" w:cs="Times New Roman"/>
          <w:sz w:val="24"/>
          <w:szCs w:val="24"/>
          <w:lang w:val="en-US"/>
        </w:rPr>
        <w:t xml:space="preserve"> in equation (8</w:t>
      </w:r>
      <w:r w:rsidR="000B01CC">
        <w:rPr>
          <w:rFonts w:ascii="Times New Roman" w:hAnsi="Times New Roman" w:cs="Times New Roman"/>
          <w:sz w:val="24"/>
          <w:szCs w:val="24"/>
          <w:lang w:val="en-US"/>
        </w:rPr>
        <w:t>) of -1.6</w:t>
      </w:r>
      <w:r>
        <w:rPr>
          <w:rFonts w:ascii="Times New Roman" w:hAnsi="Times New Roman" w:cs="Times New Roman"/>
          <w:sz w:val="24"/>
          <w:szCs w:val="24"/>
          <w:lang w:val="en-US"/>
        </w:rPr>
        <w:t xml:space="preserve">.  </w:t>
      </w:r>
      <w:r w:rsidR="003F59BA">
        <w:rPr>
          <w:rFonts w:ascii="Times New Roman" w:hAnsi="Times New Roman" w:cs="Times New Roman"/>
          <w:sz w:val="24"/>
          <w:szCs w:val="24"/>
          <w:lang w:val="en-US"/>
        </w:rPr>
        <w:t xml:space="preserve">Thus, there would have to be features </w:t>
      </w:r>
      <w:r w:rsidR="00762CE4">
        <w:rPr>
          <w:rFonts w:ascii="Times New Roman" w:hAnsi="Times New Roman" w:cs="Times New Roman"/>
          <w:sz w:val="24"/>
          <w:szCs w:val="24"/>
          <w:lang w:val="en-US"/>
        </w:rPr>
        <w:t xml:space="preserve">of these two types of countries </w:t>
      </w:r>
      <w:r w:rsidR="003F59BA">
        <w:rPr>
          <w:rFonts w:ascii="Times New Roman" w:hAnsi="Times New Roman" w:cs="Times New Roman"/>
          <w:sz w:val="24"/>
          <w:szCs w:val="24"/>
          <w:lang w:val="en-US"/>
        </w:rPr>
        <w:t>that would justify the markedly higher death rate in type A countries than in type B countries under mitigation</w:t>
      </w:r>
      <w:r w:rsidR="00273199">
        <w:rPr>
          <w:rFonts w:ascii="Times New Roman" w:hAnsi="Times New Roman" w:cs="Times New Roman"/>
          <w:sz w:val="24"/>
          <w:szCs w:val="24"/>
          <w:lang w:val="en-US"/>
        </w:rPr>
        <w:t xml:space="preserve"> (times 8 in Table 6</w:t>
      </w:r>
      <w:r w:rsidR="00125844">
        <w:rPr>
          <w:rFonts w:ascii="Times New Roman" w:hAnsi="Times New Roman" w:cs="Times New Roman"/>
          <w:sz w:val="24"/>
          <w:szCs w:val="24"/>
          <w:lang w:val="en-US"/>
        </w:rPr>
        <w:t>)</w:t>
      </w:r>
      <w:r w:rsidR="00A8285C">
        <w:rPr>
          <w:rFonts w:ascii="Times New Roman" w:hAnsi="Times New Roman" w:cs="Times New Roman"/>
          <w:sz w:val="24"/>
          <w:szCs w:val="24"/>
          <w:lang w:val="en-US"/>
        </w:rPr>
        <w:t xml:space="preserve">, </w:t>
      </w:r>
      <w:r w:rsidR="00A8285C" w:rsidRPr="008A2E7B">
        <w:rPr>
          <w:rFonts w:ascii="Times New Roman" w:hAnsi="Times New Roman" w:cs="Times New Roman"/>
          <w:i/>
          <w:sz w:val="24"/>
          <w:szCs w:val="24"/>
          <w:lang w:val="en-US"/>
        </w:rPr>
        <w:t>and</w:t>
      </w:r>
      <w:r w:rsidR="00A8285C">
        <w:rPr>
          <w:rFonts w:ascii="Times New Roman" w:hAnsi="Times New Roman" w:cs="Times New Roman"/>
          <w:sz w:val="24"/>
          <w:szCs w:val="24"/>
          <w:lang w:val="en-US"/>
        </w:rPr>
        <w:t xml:space="preserve"> governments would have to </w:t>
      </w:r>
      <w:r w:rsidR="00665A28">
        <w:rPr>
          <w:rFonts w:ascii="Times New Roman" w:hAnsi="Times New Roman" w:cs="Times New Roman"/>
          <w:sz w:val="24"/>
          <w:szCs w:val="24"/>
          <w:lang w:val="en-US"/>
        </w:rPr>
        <w:t xml:space="preserve">have been </w:t>
      </w:r>
      <w:r w:rsidR="00A8285C">
        <w:rPr>
          <w:rFonts w:ascii="Times New Roman" w:hAnsi="Times New Roman" w:cs="Times New Roman"/>
          <w:sz w:val="24"/>
          <w:szCs w:val="24"/>
          <w:lang w:val="en-US"/>
        </w:rPr>
        <w:t>capable of recognizing these at the commencement of the crisis</w:t>
      </w:r>
      <w:r w:rsidR="003F59BA">
        <w:rPr>
          <w:rFonts w:ascii="Times New Roman" w:hAnsi="Times New Roman" w:cs="Times New Roman"/>
          <w:sz w:val="24"/>
          <w:szCs w:val="24"/>
          <w:lang w:val="en-US"/>
        </w:rPr>
        <w:t xml:space="preserve">.  </w:t>
      </w:r>
      <w:r w:rsidR="007C5A10">
        <w:rPr>
          <w:rFonts w:ascii="Times New Roman" w:hAnsi="Times New Roman" w:cs="Times New Roman"/>
          <w:sz w:val="24"/>
          <w:szCs w:val="24"/>
          <w:lang w:val="en-US"/>
        </w:rPr>
        <w:t>Experts’ p</w:t>
      </w:r>
      <w:r w:rsidR="00271FE0">
        <w:rPr>
          <w:rFonts w:ascii="Times New Roman" w:hAnsi="Times New Roman" w:cs="Times New Roman"/>
          <w:sz w:val="24"/>
          <w:szCs w:val="24"/>
          <w:lang w:val="en-US"/>
        </w:rPr>
        <w:t>redictions</w:t>
      </w:r>
      <w:r w:rsidR="007C5A10">
        <w:rPr>
          <w:rFonts w:ascii="Times New Roman" w:hAnsi="Times New Roman" w:cs="Times New Roman"/>
          <w:sz w:val="24"/>
          <w:szCs w:val="24"/>
          <w:lang w:val="en-US"/>
        </w:rPr>
        <w:t xml:space="preserve">, such as those </w:t>
      </w:r>
      <w:r w:rsidR="00271FE0">
        <w:rPr>
          <w:rFonts w:ascii="Times New Roman" w:hAnsi="Times New Roman" w:cs="Times New Roman"/>
          <w:sz w:val="24"/>
          <w:szCs w:val="24"/>
          <w:lang w:val="en-US"/>
        </w:rPr>
        <w:t>of F</w:t>
      </w:r>
      <w:r>
        <w:rPr>
          <w:rFonts w:ascii="Times New Roman" w:hAnsi="Times New Roman" w:cs="Times New Roman"/>
          <w:sz w:val="24"/>
          <w:szCs w:val="24"/>
          <w:lang w:val="en-US"/>
        </w:rPr>
        <w:t>erguson et al</w:t>
      </w:r>
      <w:r w:rsidR="00271FE0">
        <w:rPr>
          <w:rFonts w:ascii="Times New Roman" w:hAnsi="Times New Roman" w:cs="Times New Roman"/>
          <w:sz w:val="24"/>
          <w:szCs w:val="24"/>
          <w:lang w:val="en-US"/>
        </w:rPr>
        <w:t xml:space="preserve"> (2020)</w:t>
      </w:r>
      <w:r w:rsidR="007C5A10">
        <w:rPr>
          <w:rFonts w:ascii="Times New Roman" w:hAnsi="Times New Roman" w:cs="Times New Roman"/>
          <w:sz w:val="24"/>
          <w:szCs w:val="24"/>
          <w:lang w:val="en-US"/>
        </w:rPr>
        <w:t>,</w:t>
      </w:r>
      <w:r w:rsidR="00271FE0">
        <w:rPr>
          <w:rFonts w:ascii="Times New Roman" w:hAnsi="Times New Roman" w:cs="Times New Roman"/>
          <w:sz w:val="24"/>
          <w:szCs w:val="24"/>
          <w:lang w:val="en-US"/>
        </w:rPr>
        <w:t xml:space="preserve"> </w:t>
      </w:r>
      <w:r w:rsidR="00742570">
        <w:rPr>
          <w:rFonts w:ascii="Times New Roman" w:hAnsi="Times New Roman" w:cs="Times New Roman"/>
          <w:sz w:val="24"/>
          <w:szCs w:val="24"/>
          <w:lang w:val="en-US"/>
        </w:rPr>
        <w:t>would not have helped</w:t>
      </w:r>
      <w:r w:rsidR="00271FE0">
        <w:rPr>
          <w:rFonts w:ascii="Times New Roman" w:hAnsi="Times New Roman" w:cs="Times New Roman"/>
          <w:sz w:val="24"/>
          <w:szCs w:val="24"/>
          <w:lang w:val="en-US"/>
        </w:rPr>
        <w:t xml:space="preserve">.  For example, Ferguson et al (2020) </w:t>
      </w:r>
      <w:r w:rsidR="007C5A10">
        <w:rPr>
          <w:rFonts w:ascii="Times New Roman" w:hAnsi="Times New Roman" w:cs="Times New Roman"/>
          <w:sz w:val="24"/>
          <w:szCs w:val="24"/>
          <w:lang w:val="en-US"/>
        </w:rPr>
        <w:t xml:space="preserve">used Chinese data to generate </w:t>
      </w:r>
      <w:r w:rsidR="00271FE0">
        <w:rPr>
          <w:rFonts w:ascii="Times New Roman" w:hAnsi="Times New Roman" w:cs="Times New Roman"/>
          <w:sz w:val="24"/>
          <w:szCs w:val="24"/>
          <w:lang w:val="en-US"/>
        </w:rPr>
        <w:t xml:space="preserve">predictions for only </w:t>
      </w:r>
      <w:r w:rsidR="007C5A10">
        <w:rPr>
          <w:rFonts w:ascii="Times New Roman" w:hAnsi="Times New Roman" w:cs="Times New Roman"/>
          <w:sz w:val="24"/>
          <w:szCs w:val="24"/>
          <w:lang w:val="en-US"/>
        </w:rPr>
        <w:t xml:space="preserve">the UK and US, which differed </w:t>
      </w:r>
      <w:r w:rsidR="00271FE0">
        <w:rPr>
          <w:rFonts w:ascii="Times New Roman" w:hAnsi="Times New Roman" w:cs="Times New Roman"/>
          <w:sz w:val="24"/>
          <w:szCs w:val="24"/>
          <w:lang w:val="en-US"/>
        </w:rPr>
        <w:t>only slightly</w:t>
      </w:r>
      <w:r w:rsidR="00125844">
        <w:rPr>
          <w:rFonts w:ascii="Times New Roman" w:hAnsi="Times New Roman" w:cs="Times New Roman"/>
          <w:sz w:val="24"/>
          <w:szCs w:val="24"/>
          <w:lang w:val="en-US"/>
        </w:rPr>
        <w:t xml:space="preserve"> (3,700 per 1m for the UK and 3,500 for the US) due to demographics and population density (ibid, pp. 6-7 and 16).  Furthermore, his numerous critics believed his death rates for the UK and US under mitigation were too high rather than that they were correct for those countries but far too high for others.  Furthermore, if </w:t>
      </w:r>
      <w:r w:rsidR="00742570">
        <w:rPr>
          <w:rFonts w:ascii="Times New Roman" w:hAnsi="Times New Roman" w:cs="Times New Roman"/>
          <w:sz w:val="24"/>
          <w:szCs w:val="24"/>
          <w:lang w:val="en-US"/>
        </w:rPr>
        <w:t xml:space="preserve">by some other means governments believed </w:t>
      </w:r>
      <w:r w:rsidR="00125844">
        <w:rPr>
          <w:rFonts w:ascii="Times New Roman" w:hAnsi="Times New Roman" w:cs="Times New Roman"/>
          <w:sz w:val="24"/>
          <w:szCs w:val="24"/>
          <w:lang w:val="en-US"/>
        </w:rPr>
        <w:t>that their death rates under mitigation would markedly differ due to some variable other than th</w:t>
      </w:r>
      <w:r w:rsidR="00F612E9">
        <w:rPr>
          <w:rFonts w:ascii="Times New Roman" w:hAnsi="Times New Roman" w:cs="Times New Roman"/>
          <w:sz w:val="24"/>
          <w:szCs w:val="24"/>
          <w:lang w:val="en-US"/>
        </w:rPr>
        <w:t xml:space="preserve">e </w:t>
      </w:r>
      <w:proofErr w:type="spellStart"/>
      <w:r w:rsidR="00F612E9">
        <w:rPr>
          <w:rFonts w:ascii="Times New Roman" w:hAnsi="Times New Roman" w:cs="Times New Roman"/>
          <w:sz w:val="24"/>
          <w:szCs w:val="24"/>
          <w:lang w:val="en-US"/>
        </w:rPr>
        <w:t>regressors</w:t>
      </w:r>
      <w:proofErr w:type="spellEnd"/>
      <w:r w:rsidR="00F612E9">
        <w:rPr>
          <w:rFonts w:ascii="Times New Roman" w:hAnsi="Times New Roman" w:cs="Times New Roman"/>
          <w:sz w:val="24"/>
          <w:szCs w:val="24"/>
          <w:lang w:val="en-US"/>
        </w:rPr>
        <w:t xml:space="preserve"> used in equation (10</w:t>
      </w:r>
      <w:r w:rsidR="00125844">
        <w:rPr>
          <w:rFonts w:ascii="Times New Roman" w:hAnsi="Times New Roman" w:cs="Times New Roman"/>
          <w:sz w:val="24"/>
          <w:szCs w:val="24"/>
          <w:lang w:val="en-US"/>
        </w:rPr>
        <w:t xml:space="preserve">) or </w:t>
      </w:r>
      <w:r w:rsidR="00665A28">
        <w:rPr>
          <w:rFonts w:ascii="Times New Roman" w:hAnsi="Times New Roman" w:cs="Times New Roman"/>
          <w:sz w:val="24"/>
          <w:szCs w:val="24"/>
          <w:lang w:val="en-US"/>
        </w:rPr>
        <w:t xml:space="preserve">those </w:t>
      </w:r>
      <w:r w:rsidR="00125844">
        <w:rPr>
          <w:rFonts w:ascii="Times New Roman" w:hAnsi="Times New Roman" w:cs="Times New Roman"/>
          <w:sz w:val="24"/>
          <w:szCs w:val="24"/>
          <w:lang w:val="en-US"/>
        </w:rPr>
        <w:t>tested and rejected</w:t>
      </w:r>
      <w:r w:rsidR="00742570">
        <w:rPr>
          <w:rFonts w:ascii="Times New Roman" w:hAnsi="Times New Roman" w:cs="Times New Roman"/>
          <w:sz w:val="24"/>
          <w:szCs w:val="24"/>
          <w:lang w:val="en-US"/>
        </w:rPr>
        <w:t xml:space="preserve"> by me</w:t>
      </w:r>
      <w:r w:rsidR="00125844">
        <w:rPr>
          <w:rFonts w:ascii="Times New Roman" w:hAnsi="Times New Roman" w:cs="Times New Roman"/>
          <w:sz w:val="24"/>
          <w:szCs w:val="24"/>
          <w:lang w:val="en-US"/>
        </w:rPr>
        <w:t xml:space="preserve">, </w:t>
      </w:r>
      <w:r w:rsidR="00742570">
        <w:rPr>
          <w:rFonts w:ascii="Times New Roman" w:hAnsi="Times New Roman" w:cs="Times New Roman"/>
          <w:sz w:val="24"/>
          <w:szCs w:val="24"/>
          <w:lang w:val="en-US"/>
        </w:rPr>
        <w:t xml:space="preserve">and their beliefs were correct, </w:t>
      </w:r>
      <w:r w:rsidR="00125844">
        <w:rPr>
          <w:rFonts w:ascii="Times New Roman" w:hAnsi="Times New Roman" w:cs="Times New Roman"/>
          <w:sz w:val="24"/>
          <w:szCs w:val="24"/>
          <w:lang w:val="en-US"/>
        </w:rPr>
        <w:t xml:space="preserve">they would have to have been aware in advance of a variable that I have not been able to locate even with the advantage of subsequently </w:t>
      </w:r>
      <w:r w:rsidR="007C5A10">
        <w:rPr>
          <w:rFonts w:ascii="Times New Roman" w:hAnsi="Times New Roman" w:cs="Times New Roman"/>
          <w:sz w:val="24"/>
          <w:szCs w:val="24"/>
          <w:lang w:val="en-US"/>
        </w:rPr>
        <w:t xml:space="preserve">obtaining and </w:t>
      </w:r>
      <w:r w:rsidR="00742570">
        <w:rPr>
          <w:rFonts w:ascii="Times New Roman" w:hAnsi="Times New Roman" w:cs="Times New Roman"/>
          <w:sz w:val="24"/>
          <w:szCs w:val="24"/>
          <w:lang w:val="en-US"/>
        </w:rPr>
        <w:t xml:space="preserve">testing the </w:t>
      </w:r>
      <w:r w:rsidR="00125844">
        <w:rPr>
          <w:rFonts w:ascii="Times New Roman" w:hAnsi="Times New Roman" w:cs="Times New Roman"/>
          <w:sz w:val="24"/>
          <w:szCs w:val="24"/>
          <w:lang w:val="en-US"/>
        </w:rPr>
        <w:t>data</w:t>
      </w:r>
      <w:r w:rsidR="00742570">
        <w:rPr>
          <w:rFonts w:ascii="Times New Roman" w:hAnsi="Times New Roman" w:cs="Times New Roman"/>
          <w:sz w:val="24"/>
          <w:szCs w:val="24"/>
          <w:lang w:val="en-US"/>
        </w:rPr>
        <w:t xml:space="preserve"> that has become available since </w:t>
      </w:r>
      <w:r w:rsidR="00742570">
        <w:rPr>
          <w:rFonts w:ascii="Times New Roman" w:hAnsi="Times New Roman" w:cs="Times New Roman"/>
          <w:sz w:val="24"/>
          <w:szCs w:val="24"/>
          <w:lang w:val="en-US"/>
        </w:rPr>
        <w:lastRenderedPageBreak/>
        <w:t>the commencement of the crisis</w:t>
      </w:r>
      <w:r w:rsidR="00125844">
        <w:rPr>
          <w:rFonts w:ascii="Times New Roman" w:hAnsi="Times New Roman" w:cs="Times New Roman"/>
          <w:sz w:val="24"/>
          <w:szCs w:val="24"/>
          <w:lang w:val="en-US"/>
        </w:rPr>
        <w:t>.  These conditions are not plausible</w:t>
      </w:r>
      <w:r w:rsidR="003A636E">
        <w:rPr>
          <w:rFonts w:ascii="Times New Roman" w:hAnsi="Times New Roman" w:cs="Times New Roman"/>
          <w:sz w:val="24"/>
          <w:szCs w:val="24"/>
          <w:lang w:val="en-US"/>
        </w:rPr>
        <w:t xml:space="preserve">, and </w:t>
      </w:r>
      <w:r w:rsidR="00665A28">
        <w:rPr>
          <w:rFonts w:ascii="Times New Roman" w:hAnsi="Times New Roman" w:cs="Times New Roman"/>
          <w:sz w:val="24"/>
          <w:szCs w:val="24"/>
          <w:lang w:val="en-US"/>
        </w:rPr>
        <w:t xml:space="preserve">this </w:t>
      </w:r>
      <w:r w:rsidR="003A636E">
        <w:rPr>
          <w:rFonts w:ascii="Times New Roman" w:hAnsi="Times New Roman" w:cs="Times New Roman"/>
          <w:sz w:val="24"/>
          <w:szCs w:val="24"/>
          <w:lang w:val="en-US"/>
        </w:rPr>
        <w:t xml:space="preserve">implies that </w:t>
      </w:r>
      <w:r w:rsidR="00125844">
        <w:rPr>
          <w:rFonts w:ascii="Times New Roman" w:hAnsi="Times New Roman" w:cs="Times New Roman"/>
          <w:sz w:val="24"/>
          <w:szCs w:val="24"/>
          <w:lang w:val="en-US"/>
        </w:rPr>
        <w:t xml:space="preserve">the estimated coefficient on </w:t>
      </w:r>
      <w:r w:rsidR="00125844" w:rsidRPr="00814F26">
        <w:rPr>
          <w:rFonts w:ascii="Times New Roman" w:hAnsi="Times New Roman" w:cs="Times New Roman"/>
          <w:i/>
          <w:sz w:val="24"/>
          <w:szCs w:val="24"/>
          <w:lang w:val="en-US"/>
        </w:rPr>
        <w:t>S</w:t>
      </w:r>
      <w:r w:rsidR="00125844">
        <w:rPr>
          <w:rFonts w:ascii="Times New Roman" w:hAnsi="Times New Roman" w:cs="Times New Roman"/>
          <w:sz w:val="24"/>
          <w:szCs w:val="24"/>
          <w:lang w:val="en-US"/>
        </w:rPr>
        <w:t xml:space="preserve"> </w:t>
      </w:r>
      <w:r w:rsidR="000B01CC">
        <w:rPr>
          <w:rFonts w:ascii="Times New Roman" w:hAnsi="Times New Roman" w:cs="Times New Roman"/>
          <w:sz w:val="24"/>
          <w:szCs w:val="24"/>
          <w:lang w:val="en-US"/>
        </w:rPr>
        <w:t>of -1.65</w:t>
      </w:r>
      <w:r w:rsidR="000D4D0A">
        <w:rPr>
          <w:rFonts w:ascii="Times New Roman" w:hAnsi="Times New Roman" w:cs="Times New Roman"/>
          <w:sz w:val="24"/>
          <w:szCs w:val="24"/>
          <w:lang w:val="en-US"/>
        </w:rPr>
        <w:t xml:space="preserve"> is not </w:t>
      </w:r>
      <w:r w:rsidR="003A636E">
        <w:rPr>
          <w:rFonts w:ascii="Times New Roman" w:hAnsi="Times New Roman" w:cs="Times New Roman"/>
          <w:sz w:val="24"/>
          <w:szCs w:val="24"/>
          <w:lang w:val="en-US"/>
        </w:rPr>
        <w:t xml:space="preserve">materially </w:t>
      </w:r>
      <w:r w:rsidR="000D4D0A">
        <w:rPr>
          <w:rFonts w:ascii="Times New Roman" w:hAnsi="Times New Roman" w:cs="Times New Roman"/>
          <w:sz w:val="24"/>
          <w:szCs w:val="24"/>
          <w:lang w:val="en-US"/>
        </w:rPr>
        <w:t>biased for reasons of this type.</w:t>
      </w:r>
    </w:p>
    <w:p w:rsidR="000D4D0A" w:rsidRDefault="000D4D0A" w:rsidP="00804186">
      <w:pPr>
        <w:spacing w:after="0" w:line="360" w:lineRule="auto"/>
        <w:jc w:val="both"/>
        <w:rPr>
          <w:rFonts w:ascii="Times New Roman" w:hAnsi="Times New Roman" w:cs="Times New Roman"/>
          <w:sz w:val="24"/>
          <w:szCs w:val="24"/>
          <w:lang w:val="en-US"/>
        </w:rPr>
      </w:pPr>
    </w:p>
    <w:p w:rsidR="007C5A10" w:rsidRDefault="007C5A10"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second po</w:t>
      </w:r>
      <w:r w:rsidR="00F612E9">
        <w:rPr>
          <w:rFonts w:ascii="Times New Roman" w:hAnsi="Times New Roman" w:cs="Times New Roman"/>
          <w:sz w:val="24"/>
          <w:szCs w:val="24"/>
          <w:lang w:val="en-US"/>
        </w:rPr>
        <w:t>tential problem with equation (10</w:t>
      </w:r>
      <w:r>
        <w:rPr>
          <w:rFonts w:ascii="Times New Roman" w:hAnsi="Times New Roman" w:cs="Times New Roman"/>
          <w:sz w:val="24"/>
          <w:szCs w:val="24"/>
          <w:lang w:val="en-US"/>
        </w:rPr>
        <w:t xml:space="preserve">) is that </w:t>
      </w:r>
      <w:r w:rsidR="0037022B">
        <w:rPr>
          <w:rFonts w:ascii="Times New Roman" w:hAnsi="Times New Roman" w:cs="Times New Roman"/>
          <w:sz w:val="24"/>
          <w:szCs w:val="24"/>
          <w:lang w:val="en-US"/>
        </w:rPr>
        <w:t xml:space="preserve">some governments </w:t>
      </w:r>
      <w:r w:rsidR="004C411F">
        <w:rPr>
          <w:rFonts w:ascii="Times New Roman" w:hAnsi="Times New Roman" w:cs="Times New Roman"/>
          <w:sz w:val="24"/>
          <w:szCs w:val="24"/>
          <w:lang w:val="en-US"/>
        </w:rPr>
        <w:t xml:space="preserve">may have chosen </w:t>
      </w:r>
      <w:r w:rsidR="0037022B">
        <w:rPr>
          <w:rFonts w:ascii="Times New Roman" w:hAnsi="Times New Roman" w:cs="Times New Roman"/>
          <w:sz w:val="24"/>
          <w:szCs w:val="24"/>
          <w:lang w:val="en-US"/>
        </w:rPr>
        <w:t xml:space="preserve">their </w:t>
      </w:r>
      <w:r w:rsidR="0037022B" w:rsidRPr="00D439BF">
        <w:rPr>
          <w:rFonts w:ascii="Times New Roman" w:hAnsi="Times New Roman" w:cs="Times New Roman"/>
          <w:i/>
          <w:sz w:val="24"/>
          <w:szCs w:val="24"/>
          <w:lang w:val="en-US"/>
        </w:rPr>
        <w:t>S</w:t>
      </w:r>
      <w:r w:rsidR="0037022B">
        <w:rPr>
          <w:rFonts w:ascii="Times New Roman" w:hAnsi="Times New Roman" w:cs="Times New Roman"/>
          <w:sz w:val="24"/>
          <w:szCs w:val="24"/>
          <w:lang w:val="en-US"/>
        </w:rPr>
        <w:t xml:space="preserve"> values in light of their observation of their country’s death rate in the early stages of the crisis</w:t>
      </w:r>
      <w:r w:rsidR="00D946AC">
        <w:rPr>
          <w:rFonts w:ascii="Times New Roman" w:hAnsi="Times New Roman" w:cs="Times New Roman"/>
          <w:sz w:val="24"/>
          <w:szCs w:val="24"/>
          <w:lang w:val="en-US"/>
        </w:rPr>
        <w:t>, believing it would predict the final death rate</w:t>
      </w:r>
      <w:r w:rsidR="0037022B">
        <w:rPr>
          <w:rFonts w:ascii="Times New Roman" w:hAnsi="Times New Roman" w:cs="Times New Roman"/>
          <w:sz w:val="24"/>
          <w:szCs w:val="24"/>
          <w:lang w:val="en-US"/>
        </w:rPr>
        <w:t>.  To illustrate this, suppose there are two types of countries, with average death rates under mitigation</w:t>
      </w:r>
      <w:r w:rsidR="00D946AC">
        <w:rPr>
          <w:rFonts w:ascii="Times New Roman" w:hAnsi="Times New Roman" w:cs="Times New Roman"/>
          <w:sz w:val="24"/>
          <w:szCs w:val="24"/>
          <w:lang w:val="en-US"/>
        </w:rPr>
        <w:t xml:space="preserve"> and extreme lockdown thus</w:t>
      </w:r>
      <w:r w:rsidR="0037022B">
        <w:rPr>
          <w:rFonts w:ascii="Times New Roman" w:hAnsi="Times New Roman" w:cs="Times New Roman"/>
          <w:sz w:val="24"/>
          <w:szCs w:val="24"/>
          <w:lang w:val="en-US"/>
        </w:rPr>
        <w:t>:</w:t>
      </w:r>
    </w:p>
    <w:p w:rsidR="0037022B" w:rsidRDefault="0037022B" w:rsidP="0037022B">
      <w:pPr>
        <w:spacing w:after="0" w:line="360" w:lineRule="auto"/>
        <w:jc w:val="both"/>
        <w:rPr>
          <w:rFonts w:ascii="Times New Roman" w:hAnsi="Times New Roman" w:cs="Times New Roman"/>
          <w:sz w:val="24"/>
          <w:szCs w:val="24"/>
          <w:lang w:val="en-US"/>
        </w:rPr>
      </w:pPr>
    </w:p>
    <w:p w:rsidR="0037022B" w:rsidRDefault="00B67D31" w:rsidP="0037022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7</w:t>
      </w:r>
      <w:r w:rsidR="0037022B">
        <w:rPr>
          <w:rFonts w:ascii="Times New Roman" w:hAnsi="Times New Roman" w:cs="Times New Roman"/>
          <w:sz w:val="24"/>
          <w:szCs w:val="24"/>
          <w:lang w:val="en-US"/>
        </w:rPr>
        <w:t>: Average Death Rates under Various Scenarios</w:t>
      </w:r>
    </w:p>
    <w:p w:rsidR="0037022B" w:rsidRDefault="0037022B" w:rsidP="0037022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37022B" w:rsidRDefault="0037022B" w:rsidP="0037022B">
      <w:pPr>
        <w:tabs>
          <w:tab w:val="left" w:pos="4536"/>
          <w:tab w:val="left" w:pos="652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D0FCC">
        <w:rPr>
          <w:rFonts w:ascii="Times New Roman" w:hAnsi="Times New Roman" w:cs="Times New Roman"/>
          <w:i/>
          <w:sz w:val="24"/>
          <w:szCs w:val="24"/>
          <w:lang w:val="en-US"/>
        </w:rPr>
        <w:t>S</w:t>
      </w:r>
      <w:r>
        <w:rPr>
          <w:rFonts w:ascii="Times New Roman" w:hAnsi="Times New Roman" w:cs="Times New Roman"/>
          <w:sz w:val="24"/>
          <w:szCs w:val="24"/>
          <w:lang w:val="en-US"/>
        </w:rPr>
        <w:t xml:space="preserve"> = 50</w:t>
      </w:r>
      <w:r>
        <w:rPr>
          <w:rFonts w:ascii="Times New Roman" w:hAnsi="Times New Roman" w:cs="Times New Roman"/>
          <w:sz w:val="24"/>
          <w:szCs w:val="24"/>
          <w:lang w:val="en-US"/>
        </w:rPr>
        <w:tab/>
      </w:r>
      <w:r w:rsidRPr="00AD0FCC">
        <w:rPr>
          <w:rFonts w:ascii="Times New Roman" w:hAnsi="Times New Roman" w:cs="Times New Roman"/>
          <w:i/>
          <w:sz w:val="24"/>
          <w:szCs w:val="24"/>
          <w:lang w:val="en-US"/>
        </w:rPr>
        <w:t>S</w:t>
      </w:r>
      <w:r>
        <w:rPr>
          <w:rFonts w:ascii="Times New Roman" w:hAnsi="Times New Roman" w:cs="Times New Roman"/>
          <w:sz w:val="24"/>
          <w:szCs w:val="24"/>
          <w:lang w:val="en-US"/>
        </w:rPr>
        <w:t xml:space="preserve"> = 100</w:t>
      </w:r>
    </w:p>
    <w:p w:rsidR="0037022B" w:rsidRDefault="0037022B" w:rsidP="0037022B">
      <w:pPr>
        <w:tabs>
          <w:tab w:val="left" w:pos="4536"/>
          <w:tab w:val="left" w:pos="6521"/>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37022B" w:rsidRDefault="000B01CC" w:rsidP="0037022B">
      <w:pPr>
        <w:tabs>
          <w:tab w:val="left" w:pos="1701"/>
          <w:tab w:val="left" w:pos="4678"/>
          <w:tab w:val="left" w:pos="6804"/>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Country A</w:t>
      </w:r>
      <w:r>
        <w:rPr>
          <w:rFonts w:ascii="Times New Roman" w:hAnsi="Times New Roman" w:cs="Times New Roman"/>
          <w:sz w:val="24"/>
          <w:szCs w:val="24"/>
          <w:lang w:val="en-US"/>
        </w:rPr>
        <w:tab/>
        <w:t>600</w:t>
      </w:r>
      <w:r>
        <w:rPr>
          <w:rFonts w:ascii="Times New Roman" w:hAnsi="Times New Roman" w:cs="Times New Roman"/>
          <w:sz w:val="24"/>
          <w:szCs w:val="24"/>
          <w:lang w:val="en-US"/>
        </w:rPr>
        <w:tab/>
        <w:t>17</w:t>
      </w:r>
      <w:r w:rsidR="0037022B">
        <w:rPr>
          <w:rFonts w:ascii="Times New Roman" w:hAnsi="Times New Roman" w:cs="Times New Roman"/>
          <w:sz w:val="24"/>
          <w:szCs w:val="24"/>
          <w:lang w:val="en-US"/>
        </w:rPr>
        <w:t>0</w:t>
      </w:r>
    </w:p>
    <w:p w:rsidR="0037022B" w:rsidRDefault="000B01CC" w:rsidP="0037022B">
      <w:pPr>
        <w:tabs>
          <w:tab w:val="left" w:pos="1701"/>
          <w:tab w:val="left" w:pos="4678"/>
          <w:tab w:val="left" w:pos="666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Country B</w:t>
      </w:r>
      <w:r>
        <w:rPr>
          <w:rFonts w:ascii="Times New Roman" w:hAnsi="Times New Roman" w:cs="Times New Roman"/>
          <w:sz w:val="24"/>
          <w:szCs w:val="24"/>
          <w:lang w:val="en-US"/>
        </w:rPr>
        <w:tab/>
        <w:t>250</w:t>
      </w:r>
      <w:r>
        <w:rPr>
          <w:rFonts w:ascii="Times New Roman" w:hAnsi="Times New Roman" w:cs="Times New Roman"/>
          <w:sz w:val="24"/>
          <w:szCs w:val="24"/>
          <w:lang w:val="en-US"/>
        </w:rPr>
        <w:tab/>
        <w:t>&lt; 17</w:t>
      </w:r>
      <w:r w:rsidR="0037022B">
        <w:rPr>
          <w:rFonts w:ascii="Times New Roman" w:hAnsi="Times New Roman" w:cs="Times New Roman"/>
          <w:sz w:val="24"/>
          <w:szCs w:val="24"/>
          <w:lang w:val="en-US"/>
        </w:rPr>
        <w:t>0</w:t>
      </w:r>
    </w:p>
    <w:p w:rsidR="0037022B" w:rsidRDefault="0037022B" w:rsidP="0037022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___________________________________________________________________________ </w:t>
      </w:r>
    </w:p>
    <w:p w:rsidR="0037022B" w:rsidRDefault="0037022B" w:rsidP="0037022B">
      <w:pPr>
        <w:spacing w:after="0" w:line="360" w:lineRule="auto"/>
        <w:jc w:val="both"/>
        <w:rPr>
          <w:rFonts w:ascii="Times New Roman" w:hAnsi="Times New Roman" w:cs="Times New Roman"/>
          <w:sz w:val="24"/>
          <w:szCs w:val="24"/>
          <w:lang w:val="en-US"/>
        </w:rPr>
      </w:pPr>
    </w:p>
    <w:p w:rsidR="0037022B" w:rsidRDefault="0037022B"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 the commencement of the crisis, it is unknown which category each country lies in but it is revealed by the death rates in the early stages of the crisis.  S</w:t>
      </w:r>
      <w:r w:rsidR="00E71923">
        <w:rPr>
          <w:rFonts w:ascii="Times New Roman" w:hAnsi="Times New Roman" w:cs="Times New Roman"/>
          <w:sz w:val="24"/>
          <w:szCs w:val="24"/>
          <w:lang w:val="en-US"/>
        </w:rPr>
        <w:t>o, upon observing their early stage death rates, the governments of type A</w:t>
      </w:r>
      <w:r w:rsidR="00D57794">
        <w:rPr>
          <w:rFonts w:ascii="Times New Roman" w:hAnsi="Times New Roman" w:cs="Times New Roman"/>
          <w:sz w:val="24"/>
          <w:szCs w:val="24"/>
          <w:lang w:val="en-US"/>
        </w:rPr>
        <w:t xml:space="preserve"> countries then understood</w:t>
      </w:r>
      <w:r w:rsidR="00E71923">
        <w:rPr>
          <w:rFonts w:ascii="Times New Roman" w:hAnsi="Times New Roman" w:cs="Times New Roman"/>
          <w:sz w:val="24"/>
          <w:szCs w:val="24"/>
          <w:lang w:val="en-US"/>
        </w:rPr>
        <w:t xml:space="preserve"> that they </w:t>
      </w:r>
      <w:r w:rsidR="00D57794">
        <w:rPr>
          <w:rFonts w:ascii="Times New Roman" w:hAnsi="Times New Roman" w:cs="Times New Roman"/>
          <w:sz w:val="24"/>
          <w:szCs w:val="24"/>
          <w:lang w:val="en-US"/>
        </w:rPr>
        <w:t xml:space="preserve">were </w:t>
      </w:r>
      <w:r w:rsidR="00E71923">
        <w:rPr>
          <w:rFonts w:ascii="Times New Roman" w:hAnsi="Times New Roman" w:cs="Times New Roman"/>
          <w:sz w:val="24"/>
          <w:szCs w:val="24"/>
          <w:lang w:val="en-US"/>
        </w:rPr>
        <w:t xml:space="preserve">of that type and chose extreme lockdown, yielding </w:t>
      </w:r>
      <w:r w:rsidR="00E71923" w:rsidRPr="00E71923">
        <w:rPr>
          <w:rFonts w:ascii="Times New Roman" w:hAnsi="Times New Roman" w:cs="Times New Roman"/>
          <w:i/>
          <w:sz w:val="24"/>
          <w:szCs w:val="24"/>
          <w:lang w:val="en-US"/>
        </w:rPr>
        <w:t>S</w:t>
      </w:r>
      <w:r w:rsidR="00E71923">
        <w:rPr>
          <w:rFonts w:ascii="Times New Roman" w:hAnsi="Times New Roman" w:cs="Times New Roman"/>
          <w:sz w:val="24"/>
          <w:szCs w:val="24"/>
          <w:lang w:val="en-US"/>
        </w:rPr>
        <w:t xml:space="preserve"> = 100 and an average death rate of </w:t>
      </w:r>
      <w:r w:rsidR="00E71923" w:rsidRPr="00E71923">
        <w:rPr>
          <w:rFonts w:ascii="Times New Roman" w:hAnsi="Times New Roman" w:cs="Times New Roman"/>
          <w:i/>
          <w:sz w:val="24"/>
          <w:szCs w:val="24"/>
          <w:lang w:val="en-US"/>
        </w:rPr>
        <w:t>D</w:t>
      </w:r>
      <w:r w:rsidR="000B01CC">
        <w:rPr>
          <w:rFonts w:ascii="Times New Roman" w:hAnsi="Times New Roman" w:cs="Times New Roman"/>
          <w:sz w:val="24"/>
          <w:szCs w:val="24"/>
          <w:lang w:val="en-US"/>
        </w:rPr>
        <w:t xml:space="preserve"> = 17</w:t>
      </w:r>
      <w:r w:rsidR="00E71923">
        <w:rPr>
          <w:rFonts w:ascii="Times New Roman" w:hAnsi="Times New Roman" w:cs="Times New Roman"/>
          <w:sz w:val="24"/>
          <w:szCs w:val="24"/>
          <w:lang w:val="en-US"/>
        </w:rPr>
        <w:t xml:space="preserve">0.  </w:t>
      </w:r>
      <w:r w:rsidR="00242C7C">
        <w:rPr>
          <w:rFonts w:ascii="Times New Roman" w:hAnsi="Times New Roman" w:cs="Times New Roman"/>
          <w:sz w:val="24"/>
          <w:szCs w:val="24"/>
          <w:lang w:val="en-US"/>
        </w:rPr>
        <w:t xml:space="preserve">At the same point, </w:t>
      </w:r>
      <w:r w:rsidR="00E71923">
        <w:rPr>
          <w:rFonts w:ascii="Times New Roman" w:hAnsi="Times New Roman" w:cs="Times New Roman"/>
          <w:sz w:val="24"/>
          <w:szCs w:val="24"/>
          <w:lang w:val="en-US"/>
        </w:rPr>
        <w:t>the governments of type B</w:t>
      </w:r>
      <w:r w:rsidR="00D57794">
        <w:rPr>
          <w:rFonts w:ascii="Times New Roman" w:hAnsi="Times New Roman" w:cs="Times New Roman"/>
          <w:sz w:val="24"/>
          <w:szCs w:val="24"/>
          <w:lang w:val="en-US"/>
        </w:rPr>
        <w:t xml:space="preserve"> countries then understood</w:t>
      </w:r>
      <w:r w:rsidR="00E71923">
        <w:rPr>
          <w:rFonts w:ascii="Times New Roman" w:hAnsi="Times New Roman" w:cs="Times New Roman"/>
          <w:sz w:val="24"/>
          <w:szCs w:val="24"/>
          <w:lang w:val="en-US"/>
        </w:rPr>
        <w:t xml:space="preserve"> that they </w:t>
      </w:r>
      <w:r w:rsidR="00D57794">
        <w:rPr>
          <w:rFonts w:ascii="Times New Roman" w:hAnsi="Times New Roman" w:cs="Times New Roman"/>
          <w:sz w:val="24"/>
          <w:szCs w:val="24"/>
          <w:lang w:val="en-US"/>
        </w:rPr>
        <w:t xml:space="preserve">were </w:t>
      </w:r>
      <w:r w:rsidR="00E71923">
        <w:rPr>
          <w:rFonts w:ascii="Times New Roman" w:hAnsi="Times New Roman" w:cs="Times New Roman"/>
          <w:sz w:val="24"/>
          <w:szCs w:val="24"/>
          <w:lang w:val="en-US"/>
        </w:rPr>
        <w:t xml:space="preserve">of that type and chose mitigation, yielding </w:t>
      </w:r>
      <w:r w:rsidR="00E71923" w:rsidRPr="00E71923">
        <w:rPr>
          <w:rFonts w:ascii="Times New Roman" w:hAnsi="Times New Roman" w:cs="Times New Roman"/>
          <w:i/>
          <w:sz w:val="24"/>
          <w:szCs w:val="24"/>
          <w:lang w:val="en-US"/>
        </w:rPr>
        <w:t>S</w:t>
      </w:r>
      <w:r w:rsidR="00E71923">
        <w:rPr>
          <w:rFonts w:ascii="Times New Roman" w:hAnsi="Times New Roman" w:cs="Times New Roman"/>
          <w:sz w:val="24"/>
          <w:szCs w:val="24"/>
          <w:lang w:val="en-US"/>
        </w:rPr>
        <w:t xml:space="preserve"> = 50 and an average death rate of </w:t>
      </w:r>
      <w:r w:rsidR="00E71923" w:rsidRPr="00E71923">
        <w:rPr>
          <w:rFonts w:ascii="Times New Roman" w:hAnsi="Times New Roman" w:cs="Times New Roman"/>
          <w:i/>
          <w:sz w:val="24"/>
          <w:szCs w:val="24"/>
          <w:lang w:val="en-US"/>
        </w:rPr>
        <w:t>D</w:t>
      </w:r>
      <w:r w:rsidR="000B01CC">
        <w:rPr>
          <w:rFonts w:ascii="Times New Roman" w:hAnsi="Times New Roman" w:cs="Times New Roman"/>
          <w:sz w:val="24"/>
          <w:szCs w:val="24"/>
          <w:lang w:val="en-US"/>
        </w:rPr>
        <w:t xml:space="preserve"> = 250</w:t>
      </w:r>
      <w:r w:rsidR="00E71923">
        <w:rPr>
          <w:rFonts w:ascii="Times New Roman" w:hAnsi="Times New Roman" w:cs="Times New Roman"/>
          <w:sz w:val="24"/>
          <w:szCs w:val="24"/>
          <w:lang w:val="en-US"/>
        </w:rPr>
        <w:t xml:space="preserve">.  Regressing </w:t>
      </w:r>
      <w:r w:rsidR="00E71923" w:rsidRPr="00803E6A">
        <w:rPr>
          <w:rFonts w:ascii="Times New Roman" w:hAnsi="Times New Roman" w:cs="Times New Roman"/>
          <w:i/>
          <w:sz w:val="24"/>
          <w:szCs w:val="24"/>
          <w:lang w:val="en-US"/>
        </w:rPr>
        <w:t>D</w:t>
      </w:r>
      <w:r w:rsidR="00E71923">
        <w:rPr>
          <w:rFonts w:ascii="Times New Roman" w:hAnsi="Times New Roman" w:cs="Times New Roman"/>
          <w:sz w:val="24"/>
          <w:szCs w:val="24"/>
          <w:lang w:val="en-US"/>
        </w:rPr>
        <w:t xml:space="preserve"> on </w:t>
      </w:r>
      <w:r w:rsidR="00E71923" w:rsidRPr="00803E6A">
        <w:rPr>
          <w:rFonts w:ascii="Times New Roman" w:hAnsi="Times New Roman" w:cs="Times New Roman"/>
          <w:i/>
          <w:sz w:val="24"/>
          <w:szCs w:val="24"/>
          <w:lang w:val="en-US"/>
        </w:rPr>
        <w:t>S</w:t>
      </w:r>
      <w:r w:rsidR="00E71923">
        <w:rPr>
          <w:rFonts w:ascii="Times New Roman" w:hAnsi="Times New Roman" w:cs="Times New Roman"/>
          <w:sz w:val="24"/>
          <w:szCs w:val="24"/>
          <w:lang w:val="en-US"/>
        </w:rPr>
        <w:t xml:space="preserve"> would then yield a coefficient on </w:t>
      </w:r>
      <w:r w:rsidR="00E71923" w:rsidRPr="00803E6A">
        <w:rPr>
          <w:rFonts w:ascii="Times New Roman" w:hAnsi="Times New Roman" w:cs="Times New Roman"/>
          <w:i/>
          <w:sz w:val="24"/>
          <w:szCs w:val="24"/>
          <w:lang w:val="en-US"/>
        </w:rPr>
        <w:t>S</w:t>
      </w:r>
      <w:r w:rsidR="000B01CC">
        <w:rPr>
          <w:rFonts w:ascii="Times New Roman" w:hAnsi="Times New Roman" w:cs="Times New Roman"/>
          <w:sz w:val="24"/>
          <w:szCs w:val="24"/>
          <w:lang w:val="en-US"/>
        </w:rPr>
        <w:t xml:space="preserve"> of -1.6</w:t>
      </w:r>
      <w:r w:rsidR="00E71923">
        <w:rPr>
          <w:rFonts w:ascii="Times New Roman" w:hAnsi="Times New Roman" w:cs="Times New Roman"/>
          <w:sz w:val="24"/>
          <w:szCs w:val="24"/>
          <w:lang w:val="en-US"/>
        </w:rPr>
        <w:t>, consistent with the regres</w:t>
      </w:r>
      <w:r w:rsidR="00A2594F">
        <w:rPr>
          <w:rFonts w:ascii="Times New Roman" w:hAnsi="Times New Roman" w:cs="Times New Roman"/>
          <w:sz w:val="24"/>
          <w:szCs w:val="24"/>
          <w:lang w:val="en-US"/>
        </w:rPr>
        <w:t xml:space="preserve">sion result shown </w:t>
      </w:r>
      <w:r w:rsidR="00F612E9">
        <w:rPr>
          <w:rFonts w:ascii="Times New Roman" w:hAnsi="Times New Roman" w:cs="Times New Roman"/>
          <w:sz w:val="24"/>
          <w:szCs w:val="24"/>
          <w:lang w:val="en-US"/>
        </w:rPr>
        <w:t>in equation (10</w:t>
      </w:r>
      <w:r w:rsidR="00E71923">
        <w:rPr>
          <w:rFonts w:ascii="Times New Roman" w:hAnsi="Times New Roman" w:cs="Times New Roman"/>
          <w:sz w:val="24"/>
          <w:szCs w:val="24"/>
          <w:lang w:val="en-US"/>
        </w:rPr>
        <w:t xml:space="preserve">).  However, the real coefficients on </w:t>
      </w:r>
      <w:r w:rsidR="00E71923" w:rsidRPr="00803E6A">
        <w:rPr>
          <w:rFonts w:ascii="Times New Roman" w:hAnsi="Times New Roman" w:cs="Times New Roman"/>
          <w:i/>
          <w:sz w:val="24"/>
          <w:szCs w:val="24"/>
          <w:lang w:val="en-US"/>
        </w:rPr>
        <w:t>S</w:t>
      </w:r>
      <w:r w:rsidR="00E71923">
        <w:rPr>
          <w:rFonts w:ascii="Times New Roman" w:hAnsi="Times New Roman" w:cs="Times New Roman"/>
          <w:sz w:val="24"/>
          <w:szCs w:val="24"/>
          <w:lang w:val="en-US"/>
        </w:rPr>
        <w:t xml:space="preserve"> are mu</w:t>
      </w:r>
      <w:r w:rsidR="000B01CC">
        <w:rPr>
          <w:rFonts w:ascii="Times New Roman" w:hAnsi="Times New Roman" w:cs="Times New Roman"/>
          <w:sz w:val="24"/>
          <w:szCs w:val="24"/>
          <w:lang w:val="en-US"/>
        </w:rPr>
        <w:t>ch lower, most particularly -8.6</w:t>
      </w:r>
      <w:r w:rsidR="00E71923">
        <w:rPr>
          <w:rFonts w:ascii="Times New Roman" w:hAnsi="Times New Roman" w:cs="Times New Roman"/>
          <w:sz w:val="24"/>
          <w:szCs w:val="24"/>
          <w:lang w:val="en-US"/>
        </w:rPr>
        <w:t xml:space="preserve"> for type </w:t>
      </w:r>
      <w:proofErr w:type="gramStart"/>
      <w:r w:rsidR="00E71923">
        <w:rPr>
          <w:rFonts w:ascii="Times New Roman" w:hAnsi="Times New Roman" w:cs="Times New Roman"/>
          <w:sz w:val="24"/>
          <w:szCs w:val="24"/>
          <w:lang w:val="en-US"/>
        </w:rPr>
        <w:t>A</w:t>
      </w:r>
      <w:proofErr w:type="gramEnd"/>
      <w:r w:rsidR="00E71923">
        <w:rPr>
          <w:rFonts w:ascii="Times New Roman" w:hAnsi="Times New Roman" w:cs="Times New Roman"/>
          <w:sz w:val="24"/>
          <w:szCs w:val="24"/>
          <w:lang w:val="en-US"/>
        </w:rPr>
        <w:t xml:space="preserve"> countries.  Thus, the regression coefficient on </w:t>
      </w:r>
      <w:r w:rsidR="00E71923" w:rsidRPr="00822FD8">
        <w:rPr>
          <w:rFonts w:ascii="Times New Roman" w:hAnsi="Times New Roman" w:cs="Times New Roman"/>
          <w:i/>
          <w:sz w:val="24"/>
          <w:szCs w:val="24"/>
          <w:lang w:val="en-US"/>
        </w:rPr>
        <w:t>S</w:t>
      </w:r>
      <w:r w:rsidR="00E71923">
        <w:rPr>
          <w:rFonts w:ascii="Times New Roman" w:hAnsi="Times New Roman" w:cs="Times New Roman"/>
          <w:sz w:val="24"/>
          <w:szCs w:val="24"/>
          <w:lang w:val="en-US"/>
        </w:rPr>
        <w:t xml:space="preserve"> would be biased up.</w:t>
      </w:r>
    </w:p>
    <w:p w:rsidR="008A15B9" w:rsidRDefault="008A15B9" w:rsidP="00D17F9F">
      <w:pPr>
        <w:spacing w:after="0" w:line="360" w:lineRule="auto"/>
        <w:jc w:val="both"/>
        <w:rPr>
          <w:rFonts w:ascii="Times New Roman" w:hAnsi="Times New Roman" w:cs="Times New Roman"/>
          <w:sz w:val="24"/>
          <w:szCs w:val="24"/>
          <w:lang w:val="en-US"/>
        </w:rPr>
      </w:pPr>
    </w:p>
    <w:p w:rsidR="008A15B9" w:rsidRDefault="008A15B9"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C6328C">
        <w:rPr>
          <w:rFonts w:ascii="Times New Roman" w:hAnsi="Times New Roman" w:cs="Times New Roman"/>
          <w:sz w:val="24"/>
          <w:szCs w:val="24"/>
          <w:lang w:val="en-US"/>
        </w:rPr>
        <w:t xml:space="preserve">scenario </w:t>
      </w:r>
      <w:r>
        <w:rPr>
          <w:rFonts w:ascii="Times New Roman" w:hAnsi="Times New Roman" w:cs="Times New Roman"/>
          <w:sz w:val="24"/>
          <w:szCs w:val="24"/>
          <w:lang w:val="en-US"/>
        </w:rPr>
        <w:t xml:space="preserve">can be tested as follows.  For each country, I </w:t>
      </w:r>
      <w:proofErr w:type="gramStart"/>
      <w:r w:rsidR="009A4036">
        <w:rPr>
          <w:rFonts w:ascii="Times New Roman" w:hAnsi="Times New Roman" w:cs="Times New Roman"/>
          <w:sz w:val="24"/>
          <w:szCs w:val="24"/>
          <w:lang w:val="en-US"/>
        </w:rPr>
        <w:t>regress</w:t>
      </w:r>
      <w:proofErr w:type="gramEnd"/>
      <w:r w:rsidR="009A4036">
        <w:rPr>
          <w:rFonts w:ascii="Times New Roman" w:hAnsi="Times New Roman" w:cs="Times New Roman"/>
          <w:sz w:val="24"/>
          <w:szCs w:val="24"/>
          <w:lang w:val="en-US"/>
        </w:rPr>
        <w:t xml:space="preserve"> its Stringency value</w:t>
      </w:r>
      <w:r>
        <w:rPr>
          <w:rFonts w:ascii="Times New Roman" w:hAnsi="Times New Roman" w:cs="Times New Roman"/>
          <w:sz w:val="24"/>
          <w:szCs w:val="24"/>
          <w:lang w:val="en-US"/>
        </w:rPr>
        <w:t xml:space="preserve"> ten days after its first reported death</w:t>
      </w:r>
      <w:r w:rsidR="009A4036">
        <w:rPr>
          <w:rFonts w:ascii="Times New Roman" w:hAnsi="Times New Roman" w:cs="Times New Roman"/>
          <w:sz w:val="24"/>
          <w:szCs w:val="24"/>
          <w:lang w:val="en-US"/>
        </w:rPr>
        <w:t xml:space="preserve"> (</w:t>
      </w:r>
      <w:r w:rsidR="009A4036" w:rsidRPr="009A4036">
        <w:rPr>
          <w:rFonts w:ascii="Times New Roman" w:hAnsi="Times New Roman" w:cs="Times New Roman"/>
          <w:i/>
          <w:sz w:val="24"/>
          <w:szCs w:val="24"/>
          <w:lang w:val="en-US"/>
        </w:rPr>
        <w:t>S</w:t>
      </w:r>
      <w:r w:rsidR="009A4036" w:rsidRPr="009A4036">
        <w:rPr>
          <w:rFonts w:ascii="Times New Roman" w:hAnsi="Times New Roman" w:cs="Times New Roman"/>
          <w:i/>
          <w:sz w:val="24"/>
          <w:szCs w:val="24"/>
          <w:vertAlign w:val="subscript"/>
          <w:lang w:val="en-US"/>
        </w:rPr>
        <w:t>10</w:t>
      </w:r>
      <w:r w:rsidR="009A4036">
        <w:rPr>
          <w:rFonts w:ascii="Times New Roman" w:hAnsi="Times New Roman" w:cs="Times New Roman"/>
          <w:sz w:val="24"/>
          <w:szCs w:val="24"/>
          <w:lang w:val="en-US"/>
        </w:rPr>
        <w:t xml:space="preserve">) on its </w:t>
      </w:r>
      <w:r>
        <w:rPr>
          <w:rFonts w:ascii="Times New Roman" w:hAnsi="Times New Roman" w:cs="Times New Roman"/>
          <w:sz w:val="24"/>
          <w:szCs w:val="24"/>
          <w:lang w:val="en-US"/>
        </w:rPr>
        <w:t>death rate up to that point</w:t>
      </w:r>
      <w:r w:rsidR="009A4036">
        <w:rPr>
          <w:rFonts w:ascii="Times New Roman" w:hAnsi="Times New Roman" w:cs="Times New Roman"/>
          <w:sz w:val="24"/>
          <w:szCs w:val="24"/>
          <w:lang w:val="en-US"/>
        </w:rPr>
        <w:t xml:space="preserve"> (</w:t>
      </w:r>
      <w:r w:rsidR="009A4036" w:rsidRPr="009A4036">
        <w:rPr>
          <w:rFonts w:ascii="Times New Roman" w:hAnsi="Times New Roman" w:cs="Times New Roman"/>
          <w:i/>
          <w:sz w:val="24"/>
          <w:szCs w:val="24"/>
          <w:lang w:val="en-US"/>
        </w:rPr>
        <w:t>D</w:t>
      </w:r>
      <w:r w:rsidR="009A4036" w:rsidRPr="009A4036">
        <w:rPr>
          <w:rFonts w:ascii="Times New Roman" w:hAnsi="Times New Roman" w:cs="Times New Roman"/>
          <w:i/>
          <w:sz w:val="24"/>
          <w:szCs w:val="24"/>
          <w:vertAlign w:val="subscript"/>
          <w:lang w:val="en-US"/>
        </w:rPr>
        <w:t>10</w:t>
      </w:r>
      <w:r w:rsidR="009A4036">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assess whether </w:t>
      </w:r>
      <w:r w:rsidRPr="008A15B9">
        <w:rPr>
          <w:rFonts w:ascii="Times New Roman" w:hAnsi="Times New Roman" w:cs="Times New Roman"/>
          <w:i/>
          <w:sz w:val="24"/>
          <w:szCs w:val="24"/>
          <w:lang w:val="en-US"/>
        </w:rPr>
        <w:t>D</w:t>
      </w:r>
      <w:r w:rsidR="009A4036">
        <w:rPr>
          <w:rFonts w:ascii="Times New Roman" w:hAnsi="Times New Roman" w:cs="Times New Roman"/>
          <w:i/>
          <w:sz w:val="24"/>
          <w:szCs w:val="24"/>
          <w:vertAlign w:val="subscript"/>
          <w:lang w:val="en-US"/>
        </w:rPr>
        <w:t>10</w:t>
      </w:r>
      <w:r>
        <w:rPr>
          <w:rFonts w:ascii="Times New Roman" w:hAnsi="Times New Roman" w:cs="Times New Roman"/>
          <w:sz w:val="24"/>
          <w:szCs w:val="24"/>
          <w:lang w:val="en-US"/>
        </w:rPr>
        <w:t xml:space="preserve"> can explain </w:t>
      </w:r>
      <w:r w:rsidRPr="008A15B9">
        <w:rPr>
          <w:rFonts w:ascii="Times New Roman" w:hAnsi="Times New Roman" w:cs="Times New Roman"/>
          <w:i/>
          <w:sz w:val="24"/>
          <w:szCs w:val="24"/>
          <w:lang w:val="en-US"/>
        </w:rPr>
        <w:t>S</w:t>
      </w:r>
      <w:r w:rsidR="009A4036">
        <w:rPr>
          <w:rFonts w:ascii="Times New Roman" w:hAnsi="Times New Roman" w:cs="Times New Roman"/>
          <w:i/>
          <w:sz w:val="24"/>
          <w:szCs w:val="24"/>
          <w:vertAlign w:val="subscript"/>
          <w:lang w:val="en-US"/>
        </w:rPr>
        <w:t>10</w:t>
      </w:r>
      <w:r w:rsidR="009A4036">
        <w:rPr>
          <w:rFonts w:ascii="Times New Roman" w:hAnsi="Times New Roman" w:cs="Times New Roman"/>
          <w:sz w:val="24"/>
          <w:szCs w:val="24"/>
          <w:lang w:val="en-US"/>
        </w:rPr>
        <w:t>.</w:t>
      </w:r>
      <w:r>
        <w:rPr>
          <w:rFonts w:ascii="Times New Roman" w:hAnsi="Times New Roman" w:cs="Times New Roman"/>
          <w:sz w:val="24"/>
          <w:szCs w:val="24"/>
          <w:lang w:val="en-US"/>
        </w:rPr>
        <w:t xml:space="preserve">  I repeat the process for 20 and 30 days after each country’s first death.</w:t>
      </w:r>
      <w:r w:rsidR="00AB7D4E">
        <w:rPr>
          <w:rFonts w:ascii="Times New Roman" w:hAnsi="Times New Roman" w:cs="Times New Roman"/>
          <w:sz w:val="24"/>
          <w:szCs w:val="24"/>
          <w:lang w:val="en-US"/>
        </w:rPr>
        <w:t xml:space="preserve">  </w:t>
      </w:r>
      <w:r w:rsidR="00D97CFE">
        <w:rPr>
          <w:rFonts w:ascii="Times New Roman" w:hAnsi="Times New Roman" w:cs="Times New Roman"/>
          <w:sz w:val="24"/>
          <w:szCs w:val="24"/>
          <w:lang w:val="en-US"/>
        </w:rPr>
        <w:t>I</w:t>
      </w:r>
      <w:r w:rsidR="00F96578">
        <w:rPr>
          <w:rFonts w:ascii="Times New Roman" w:hAnsi="Times New Roman" w:cs="Times New Roman"/>
          <w:sz w:val="24"/>
          <w:szCs w:val="24"/>
          <w:lang w:val="en-US"/>
        </w:rPr>
        <w:t xml:space="preserve"> also test whether any of these three </w:t>
      </w:r>
      <w:r w:rsidR="00D97CFE">
        <w:rPr>
          <w:rFonts w:ascii="Times New Roman" w:hAnsi="Times New Roman" w:cs="Times New Roman"/>
          <w:sz w:val="24"/>
          <w:szCs w:val="24"/>
          <w:lang w:val="en-US"/>
        </w:rPr>
        <w:t xml:space="preserve">early stage death rates can explain the maximum </w:t>
      </w:r>
      <w:r w:rsidR="00D97CFE" w:rsidRPr="005879EA">
        <w:rPr>
          <w:rFonts w:ascii="Times New Roman" w:hAnsi="Times New Roman" w:cs="Times New Roman"/>
          <w:i/>
          <w:sz w:val="24"/>
          <w:szCs w:val="24"/>
          <w:lang w:val="en-US"/>
        </w:rPr>
        <w:t>S</w:t>
      </w:r>
      <w:r w:rsidR="00D946AC">
        <w:rPr>
          <w:rFonts w:ascii="Times New Roman" w:hAnsi="Times New Roman" w:cs="Times New Roman"/>
          <w:sz w:val="24"/>
          <w:szCs w:val="24"/>
          <w:lang w:val="en-US"/>
        </w:rPr>
        <w:t xml:space="preserve"> value chosen by governments (</w:t>
      </w:r>
      <w:r w:rsidR="00D946AC" w:rsidRPr="001A16FE">
        <w:rPr>
          <w:rFonts w:ascii="Times New Roman" w:hAnsi="Times New Roman" w:cs="Times New Roman"/>
          <w:i/>
          <w:sz w:val="24"/>
          <w:szCs w:val="24"/>
          <w:lang w:val="en-US"/>
        </w:rPr>
        <w:t>S</w:t>
      </w:r>
      <w:r w:rsidR="00D946AC" w:rsidRPr="001A16FE">
        <w:rPr>
          <w:rFonts w:ascii="Times New Roman" w:hAnsi="Times New Roman" w:cs="Times New Roman"/>
          <w:i/>
          <w:sz w:val="24"/>
          <w:szCs w:val="24"/>
          <w:vertAlign w:val="subscript"/>
          <w:lang w:val="en-US"/>
        </w:rPr>
        <w:t>m</w:t>
      </w:r>
      <w:r w:rsidR="00D946AC">
        <w:rPr>
          <w:rFonts w:ascii="Times New Roman" w:hAnsi="Times New Roman" w:cs="Times New Roman"/>
          <w:sz w:val="24"/>
          <w:szCs w:val="24"/>
          <w:lang w:val="en-US"/>
        </w:rPr>
        <w:t>).</w:t>
      </w:r>
      <w:r w:rsidR="00D97CFE">
        <w:rPr>
          <w:rFonts w:ascii="Times New Roman" w:hAnsi="Times New Roman" w:cs="Times New Roman"/>
          <w:sz w:val="24"/>
          <w:szCs w:val="24"/>
          <w:lang w:val="en-US"/>
        </w:rPr>
        <w:t xml:space="preserve">  </w:t>
      </w:r>
      <w:r w:rsidR="00AB7D4E">
        <w:rPr>
          <w:rFonts w:ascii="Times New Roman" w:hAnsi="Times New Roman" w:cs="Times New Roman"/>
          <w:sz w:val="24"/>
          <w:szCs w:val="24"/>
          <w:lang w:val="en-US"/>
        </w:rPr>
        <w:t xml:space="preserve">These regressions yield </w:t>
      </w:r>
      <w:r w:rsidR="005879EA">
        <w:rPr>
          <w:rFonts w:ascii="Times New Roman" w:hAnsi="Times New Roman" w:cs="Times New Roman"/>
          <w:sz w:val="24"/>
          <w:szCs w:val="24"/>
          <w:lang w:val="en-US"/>
        </w:rPr>
        <w:t xml:space="preserve">the results shown in </w:t>
      </w:r>
      <w:r w:rsidR="00F57255">
        <w:rPr>
          <w:rFonts w:ascii="Times New Roman" w:hAnsi="Times New Roman" w:cs="Times New Roman"/>
          <w:sz w:val="24"/>
          <w:szCs w:val="24"/>
          <w:lang w:val="en-US"/>
        </w:rPr>
        <w:t xml:space="preserve">the first six columns of </w:t>
      </w:r>
      <w:r w:rsidR="00863D5D">
        <w:rPr>
          <w:rFonts w:ascii="Times New Roman" w:hAnsi="Times New Roman" w:cs="Times New Roman"/>
          <w:sz w:val="24"/>
          <w:szCs w:val="24"/>
          <w:lang w:val="en-US"/>
        </w:rPr>
        <w:t>Table 8</w:t>
      </w:r>
      <w:r w:rsidR="005879EA">
        <w:rPr>
          <w:rFonts w:ascii="Times New Roman" w:hAnsi="Times New Roman" w:cs="Times New Roman"/>
          <w:sz w:val="24"/>
          <w:szCs w:val="24"/>
          <w:lang w:val="en-US"/>
        </w:rPr>
        <w:t xml:space="preserve"> below.  </w:t>
      </w:r>
      <w:r w:rsidR="0040733E">
        <w:rPr>
          <w:rFonts w:ascii="Times New Roman" w:hAnsi="Times New Roman" w:cs="Times New Roman"/>
          <w:sz w:val="24"/>
          <w:szCs w:val="24"/>
          <w:lang w:val="en-US"/>
        </w:rPr>
        <w:t xml:space="preserve">Only two of these regressions even yield a positive coefficient on early death rate </w:t>
      </w:r>
      <w:r w:rsidR="00CD6712">
        <w:rPr>
          <w:rFonts w:ascii="Times New Roman" w:hAnsi="Times New Roman" w:cs="Times New Roman"/>
          <w:sz w:val="24"/>
          <w:szCs w:val="24"/>
          <w:lang w:val="en-US"/>
        </w:rPr>
        <w:t>(consist</w:t>
      </w:r>
      <w:r w:rsidR="00863D5D">
        <w:rPr>
          <w:rFonts w:ascii="Times New Roman" w:hAnsi="Times New Roman" w:cs="Times New Roman"/>
          <w:sz w:val="24"/>
          <w:szCs w:val="24"/>
          <w:lang w:val="en-US"/>
        </w:rPr>
        <w:t>ent with the scenario in Table 7</w:t>
      </w:r>
      <w:r w:rsidR="00CD6712">
        <w:rPr>
          <w:rFonts w:ascii="Times New Roman" w:hAnsi="Times New Roman" w:cs="Times New Roman"/>
          <w:sz w:val="24"/>
          <w:szCs w:val="24"/>
          <w:lang w:val="en-US"/>
        </w:rPr>
        <w:t xml:space="preserve">) </w:t>
      </w:r>
      <w:r w:rsidR="0040733E">
        <w:rPr>
          <w:rFonts w:ascii="Times New Roman" w:hAnsi="Times New Roman" w:cs="Times New Roman"/>
          <w:sz w:val="24"/>
          <w:szCs w:val="24"/>
          <w:lang w:val="en-US"/>
        </w:rPr>
        <w:t xml:space="preserve">and none of them </w:t>
      </w:r>
      <w:r w:rsidR="005879EA">
        <w:rPr>
          <w:rFonts w:ascii="Times New Roman" w:hAnsi="Times New Roman" w:cs="Times New Roman"/>
          <w:sz w:val="24"/>
          <w:szCs w:val="24"/>
          <w:lang w:val="en-US"/>
        </w:rPr>
        <w:t>yields a statistically significant coef</w:t>
      </w:r>
      <w:r w:rsidR="0040733E">
        <w:rPr>
          <w:rFonts w:ascii="Times New Roman" w:hAnsi="Times New Roman" w:cs="Times New Roman"/>
          <w:sz w:val="24"/>
          <w:szCs w:val="24"/>
          <w:lang w:val="en-US"/>
        </w:rPr>
        <w:t>ficient on it</w:t>
      </w:r>
      <w:r w:rsidR="002D12E8">
        <w:rPr>
          <w:rFonts w:ascii="Times New Roman" w:hAnsi="Times New Roman" w:cs="Times New Roman"/>
          <w:sz w:val="24"/>
          <w:szCs w:val="24"/>
          <w:lang w:val="en-US"/>
        </w:rPr>
        <w:t xml:space="preserve">.  </w:t>
      </w:r>
      <w:r w:rsidR="00AB7D4E">
        <w:rPr>
          <w:rFonts w:ascii="Times New Roman" w:hAnsi="Times New Roman" w:cs="Times New Roman"/>
          <w:sz w:val="24"/>
          <w:szCs w:val="24"/>
          <w:lang w:val="en-US"/>
        </w:rPr>
        <w:t xml:space="preserve">So, the hypothesis </w:t>
      </w:r>
      <w:r w:rsidR="002D12E8">
        <w:rPr>
          <w:rFonts w:ascii="Times New Roman" w:hAnsi="Times New Roman" w:cs="Times New Roman"/>
          <w:sz w:val="24"/>
          <w:szCs w:val="24"/>
          <w:lang w:val="en-US"/>
        </w:rPr>
        <w:t xml:space="preserve">that </w:t>
      </w:r>
      <w:r w:rsidR="00AB7D4E">
        <w:rPr>
          <w:rFonts w:ascii="Times New Roman" w:hAnsi="Times New Roman" w:cs="Times New Roman"/>
          <w:sz w:val="24"/>
          <w:szCs w:val="24"/>
          <w:lang w:val="en-US"/>
        </w:rPr>
        <w:t>early stage death rates did not affect governments</w:t>
      </w:r>
      <w:r w:rsidR="00D97CFE">
        <w:rPr>
          <w:rFonts w:ascii="Times New Roman" w:hAnsi="Times New Roman" w:cs="Times New Roman"/>
          <w:sz w:val="24"/>
          <w:szCs w:val="24"/>
          <w:lang w:val="en-US"/>
        </w:rPr>
        <w:t>’</w:t>
      </w:r>
      <w:r w:rsidR="00AB7D4E">
        <w:rPr>
          <w:rFonts w:ascii="Times New Roman" w:hAnsi="Times New Roman" w:cs="Times New Roman"/>
          <w:sz w:val="24"/>
          <w:szCs w:val="24"/>
          <w:lang w:val="en-US"/>
        </w:rPr>
        <w:t xml:space="preserve"> choice of </w:t>
      </w:r>
      <w:r w:rsidR="00AB7D4E" w:rsidRPr="00D97CFE">
        <w:rPr>
          <w:rFonts w:ascii="Times New Roman" w:hAnsi="Times New Roman" w:cs="Times New Roman"/>
          <w:i/>
          <w:sz w:val="24"/>
          <w:szCs w:val="24"/>
          <w:lang w:val="en-US"/>
        </w:rPr>
        <w:t>S</w:t>
      </w:r>
      <w:r w:rsidR="00AB7D4E">
        <w:rPr>
          <w:rFonts w:ascii="Times New Roman" w:hAnsi="Times New Roman" w:cs="Times New Roman"/>
          <w:sz w:val="24"/>
          <w:szCs w:val="24"/>
          <w:lang w:val="en-US"/>
        </w:rPr>
        <w:t xml:space="preserve"> cannot be rejected</w:t>
      </w:r>
      <w:r w:rsidR="00D946AC">
        <w:rPr>
          <w:rFonts w:ascii="Times New Roman" w:hAnsi="Times New Roman" w:cs="Times New Roman"/>
          <w:sz w:val="24"/>
          <w:szCs w:val="24"/>
          <w:lang w:val="en-US"/>
        </w:rPr>
        <w:t xml:space="preserve">.  </w:t>
      </w:r>
      <w:r w:rsidR="005879EA">
        <w:rPr>
          <w:rFonts w:ascii="Times New Roman" w:hAnsi="Times New Roman" w:cs="Times New Roman"/>
          <w:sz w:val="24"/>
          <w:szCs w:val="24"/>
          <w:lang w:val="en-US"/>
        </w:rPr>
        <w:t xml:space="preserve">This is </w:t>
      </w:r>
      <w:r w:rsidR="00D946AC">
        <w:rPr>
          <w:rFonts w:ascii="Times New Roman" w:hAnsi="Times New Roman" w:cs="Times New Roman"/>
          <w:sz w:val="24"/>
          <w:szCs w:val="24"/>
          <w:lang w:val="en-US"/>
        </w:rPr>
        <w:t xml:space="preserve">surprising because </w:t>
      </w:r>
      <w:r w:rsidR="000100E5">
        <w:rPr>
          <w:rFonts w:ascii="Times New Roman" w:hAnsi="Times New Roman" w:cs="Times New Roman"/>
          <w:sz w:val="24"/>
          <w:szCs w:val="24"/>
          <w:lang w:val="en-US"/>
        </w:rPr>
        <w:t xml:space="preserve">the death rates </w:t>
      </w:r>
      <w:r w:rsidR="000100E5">
        <w:rPr>
          <w:rFonts w:ascii="Times New Roman" w:hAnsi="Times New Roman" w:cs="Times New Roman"/>
          <w:sz w:val="24"/>
          <w:szCs w:val="24"/>
          <w:lang w:val="en-US"/>
        </w:rPr>
        <w:lastRenderedPageBreak/>
        <w:t>up to day 20</w:t>
      </w:r>
      <w:r w:rsidR="00D946AC">
        <w:rPr>
          <w:rFonts w:ascii="Times New Roman" w:hAnsi="Times New Roman" w:cs="Times New Roman"/>
          <w:sz w:val="24"/>
          <w:szCs w:val="24"/>
          <w:lang w:val="en-US"/>
        </w:rPr>
        <w:t>,</w:t>
      </w:r>
      <w:r w:rsidR="000100E5">
        <w:rPr>
          <w:rFonts w:ascii="Times New Roman" w:hAnsi="Times New Roman" w:cs="Times New Roman"/>
          <w:sz w:val="24"/>
          <w:szCs w:val="24"/>
          <w:lang w:val="en-US"/>
        </w:rPr>
        <w:t xml:space="preserve"> and even more so for </w:t>
      </w:r>
      <w:r w:rsidR="00F57255">
        <w:rPr>
          <w:rFonts w:ascii="Times New Roman" w:hAnsi="Times New Roman" w:cs="Times New Roman"/>
          <w:sz w:val="24"/>
          <w:szCs w:val="24"/>
          <w:lang w:val="en-US"/>
        </w:rPr>
        <w:t xml:space="preserve">up to </w:t>
      </w:r>
      <w:r w:rsidR="000100E5">
        <w:rPr>
          <w:rFonts w:ascii="Times New Roman" w:hAnsi="Times New Roman" w:cs="Times New Roman"/>
          <w:sz w:val="24"/>
          <w:szCs w:val="24"/>
          <w:lang w:val="en-US"/>
        </w:rPr>
        <w:t>day 30</w:t>
      </w:r>
      <w:r w:rsidR="00D946AC">
        <w:rPr>
          <w:rFonts w:ascii="Times New Roman" w:hAnsi="Times New Roman" w:cs="Times New Roman"/>
          <w:sz w:val="24"/>
          <w:szCs w:val="24"/>
          <w:lang w:val="en-US"/>
        </w:rPr>
        <w:t>,</w:t>
      </w:r>
      <w:r w:rsidR="000100E5">
        <w:rPr>
          <w:rFonts w:ascii="Times New Roman" w:hAnsi="Times New Roman" w:cs="Times New Roman"/>
          <w:sz w:val="24"/>
          <w:szCs w:val="24"/>
          <w:lang w:val="en-US"/>
        </w:rPr>
        <w:t xml:space="preserve"> </w:t>
      </w:r>
      <w:r w:rsidR="00F57255">
        <w:rPr>
          <w:rFonts w:ascii="Times New Roman" w:hAnsi="Times New Roman" w:cs="Times New Roman"/>
          <w:sz w:val="24"/>
          <w:szCs w:val="24"/>
          <w:lang w:val="en-US"/>
        </w:rPr>
        <w:t xml:space="preserve">are </w:t>
      </w:r>
      <w:r w:rsidR="000100E5">
        <w:rPr>
          <w:rFonts w:ascii="Times New Roman" w:hAnsi="Times New Roman" w:cs="Times New Roman"/>
          <w:sz w:val="24"/>
          <w:szCs w:val="24"/>
          <w:lang w:val="en-US"/>
        </w:rPr>
        <w:t>good predictors of the final death rate</w:t>
      </w:r>
      <w:r w:rsidR="001A16FE">
        <w:rPr>
          <w:rFonts w:ascii="Times New Roman" w:hAnsi="Times New Roman" w:cs="Times New Roman"/>
          <w:sz w:val="24"/>
          <w:szCs w:val="24"/>
          <w:lang w:val="en-US"/>
        </w:rPr>
        <w:t xml:space="preserve"> (</w:t>
      </w:r>
      <w:r w:rsidR="001A16FE" w:rsidRPr="001A16FE">
        <w:rPr>
          <w:rFonts w:ascii="Times New Roman" w:hAnsi="Times New Roman" w:cs="Times New Roman"/>
          <w:i/>
          <w:sz w:val="24"/>
          <w:szCs w:val="24"/>
          <w:lang w:val="en-US"/>
        </w:rPr>
        <w:t>D</w:t>
      </w:r>
      <w:r w:rsidR="001A16FE">
        <w:rPr>
          <w:rFonts w:ascii="Times New Roman" w:hAnsi="Times New Roman" w:cs="Times New Roman"/>
          <w:sz w:val="24"/>
          <w:szCs w:val="24"/>
          <w:lang w:val="en-US"/>
        </w:rPr>
        <w:t>)</w:t>
      </w:r>
      <w:r w:rsidR="00F57255">
        <w:rPr>
          <w:rFonts w:ascii="Times New Roman" w:hAnsi="Times New Roman" w:cs="Times New Roman"/>
          <w:sz w:val="24"/>
          <w:szCs w:val="24"/>
          <w:lang w:val="en-US"/>
        </w:rPr>
        <w:t>, as shown in t</w:t>
      </w:r>
      <w:r w:rsidR="00863D5D">
        <w:rPr>
          <w:rFonts w:ascii="Times New Roman" w:hAnsi="Times New Roman" w:cs="Times New Roman"/>
          <w:sz w:val="24"/>
          <w:szCs w:val="24"/>
          <w:lang w:val="en-US"/>
        </w:rPr>
        <w:t>he last three columns of Table 8</w:t>
      </w:r>
      <w:r w:rsidR="009A4036">
        <w:rPr>
          <w:rFonts w:ascii="Times New Roman" w:hAnsi="Times New Roman" w:cs="Times New Roman"/>
          <w:sz w:val="24"/>
          <w:szCs w:val="24"/>
          <w:lang w:val="en-US"/>
        </w:rPr>
        <w:t xml:space="preserve">.  So, at least from day 20, the death rate data up to that point </w:t>
      </w:r>
      <w:r w:rsidR="00D946AC">
        <w:rPr>
          <w:rFonts w:ascii="Times New Roman" w:hAnsi="Times New Roman" w:cs="Times New Roman"/>
          <w:sz w:val="24"/>
          <w:szCs w:val="24"/>
          <w:lang w:val="en-US"/>
        </w:rPr>
        <w:t xml:space="preserve">could have been used to set the </w:t>
      </w:r>
      <w:r w:rsidR="00D946AC" w:rsidRPr="001A16FE">
        <w:rPr>
          <w:rFonts w:ascii="Times New Roman" w:hAnsi="Times New Roman" w:cs="Times New Roman"/>
          <w:i/>
          <w:sz w:val="24"/>
          <w:szCs w:val="24"/>
          <w:lang w:val="en-US"/>
        </w:rPr>
        <w:t>S</w:t>
      </w:r>
      <w:r w:rsidR="00D946AC">
        <w:rPr>
          <w:rFonts w:ascii="Times New Roman" w:hAnsi="Times New Roman" w:cs="Times New Roman"/>
          <w:sz w:val="24"/>
          <w:szCs w:val="24"/>
          <w:lang w:val="en-US"/>
        </w:rPr>
        <w:t xml:space="preserve"> value at that point or the maximum </w:t>
      </w:r>
      <w:r w:rsidR="00D946AC" w:rsidRPr="001A16FE">
        <w:rPr>
          <w:rFonts w:ascii="Times New Roman" w:hAnsi="Times New Roman" w:cs="Times New Roman"/>
          <w:i/>
          <w:sz w:val="24"/>
          <w:szCs w:val="24"/>
          <w:lang w:val="en-US"/>
        </w:rPr>
        <w:t>S</w:t>
      </w:r>
      <w:r w:rsidR="001A16FE">
        <w:rPr>
          <w:rFonts w:ascii="Times New Roman" w:hAnsi="Times New Roman" w:cs="Times New Roman"/>
          <w:sz w:val="24"/>
          <w:szCs w:val="24"/>
          <w:lang w:val="en-US"/>
        </w:rPr>
        <w:t xml:space="preserve"> value</w:t>
      </w:r>
      <w:r w:rsidR="00D946AC">
        <w:rPr>
          <w:rFonts w:ascii="Times New Roman" w:hAnsi="Times New Roman" w:cs="Times New Roman"/>
          <w:sz w:val="24"/>
          <w:szCs w:val="24"/>
          <w:lang w:val="en-US"/>
        </w:rPr>
        <w:t xml:space="preserve"> but governments did </w:t>
      </w:r>
      <w:r w:rsidR="007B7CE3" w:rsidRPr="007B7CE3">
        <w:rPr>
          <w:rFonts w:ascii="Times New Roman" w:hAnsi="Times New Roman" w:cs="Times New Roman"/>
          <w:i/>
          <w:sz w:val="24"/>
          <w:szCs w:val="24"/>
          <w:lang w:val="en-US"/>
        </w:rPr>
        <w:t>not</w:t>
      </w:r>
      <w:r w:rsidR="00D946AC">
        <w:rPr>
          <w:rFonts w:ascii="Times New Roman" w:hAnsi="Times New Roman" w:cs="Times New Roman"/>
          <w:sz w:val="24"/>
          <w:szCs w:val="24"/>
          <w:lang w:val="en-US"/>
        </w:rPr>
        <w:t xml:space="preserve"> </w:t>
      </w:r>
      <w:r w:rsidR="00F57255">
        <w:rPr>
          <w:rFonts w:ascii="Times New Roman" w:hAnsi="Times New Roman" w:cs="Times New Roman"/>
          <w:sz w:val="24"/>
          <w:szCs w:val="24"/>
          <w:lang w:val="en-US"/>
        </w:rPr>
        <w:t xml:space="preserve">seem to have done </w:t>
      </w:r>
      <w:r w:rsidR="00D946AC">
        <w:rPr>
          <w:rFonts w:ascii="Times New Roman" w:hAnsi="Times New Roman" w:cs="Times New Roman"/>
          <w:sz w:val="24"/>
          <w:szCs w:val="24"/>
          <w:lang w:val="en-US"/>
        </w:rPr>
        <w:t xml:space="preserve">so.  </w:t>
      </w:r>
    </w:p>
    <w:p w:rsidR="00395D26" w:rsidRDefault="00395D26" w:rsidP="00395D26">
      <w:pPr>
        <w:spacing w:after="0" w:line="360" w:lineRule="auto"/>
        <w:jc w:val="both"/>
        <w:rPr>
          <w:rFonts w:ascii="Times New Roman" w:hAnsi="Times New Roman" w:cs="Times New Roman"/>
          <w:sz w:val="24"/>
          <w:szCs w:val="24"/>
          <w:lang w:val="en-US"/>
        </w:rPr>
      </w:pPr>
    </w:p>
    <w:p w:rsidR="00395D26" w:rsidRDefault="00863D5D" w:rsidP="00395D2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8</w:t>
      </w:r>
      <w:r w:rsidR="00395D26">
        <w:rPr>
          <w:rFonts w:ascii="Times New Roman" w:hAnsi="Times New Roman" w:cs="Times New Roman"/>
          <w:sz w:val="24"/>
          <w:szCs w:val="24"/>
          <w:lang w:val="en-US"/>
        </w:rPr>
        <w:t>: Stringency Levels and Death Rates</w:t>
      </w:r>
    </w:p>
    <w:p w:rsidR="00395D26" w:rsidRDefault="00395D26" w:rsidP="00395D2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395D26" w:rsidRPr="001A16FE" w:rsidRDefault="00D946AC" w:rsidP="001A16FE">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D</w:t>
      </w:r>
      <w:r w:rsidR="00F354D0">
        <w:rPr>
          <w:rFonts w:ascii="Times New Roman" w:hAnsi="Times New Roman" w:cs="Times New Roman"/>
          <w:sz w:val="24"/>
          <w:szCs w:val="24"/>
          <w:lang w:val="en-US"/>
        </w:rPr>
        <w:t xml:space="preserve">ep </w:t>
      </w:r>
      <w:proofErr w:type="spellStart"/>
      <w:r>
        <w:rPr>
          <w:rFonts w:ascii="Times New Roman" w:hAnsi="Times New Roman" w:cs="Times New Roman"/>
          <w:sz w:val="24"/>
          <w:szCs w:val="24"/>
          <w:lang w:val="en-US"/>
        </w:rPr>
        <w:t>V</w:t>
      </w:r>
      <w:r w:rsidR="00F354D0">
        <w:rPr>
          <w:rFonts w:ascii="Times New Roman" w:hAnsi="Times New Roman" w:cs="Times New Roman"/>
          <w:sz w:val="24"/>
          <w:szCs w:val="24"/>
          <w:lang w:val="en-US"/>
        </w:rPr>
        <w:t>ar</w:t>
      </w:r>
      <w:proofErr w:type="spellEnd"/>
      <w:r w:rsidR="00A4535C">
        <w:rPr>
          <w:rFonts w:ascii="Times New Roman" w:hAnsi="Times New Roman" w:cs="Times New Roman"/>
          <w:sz w:val="24"/>
          <w:szCs w:val="24"/>
          <w:lang w:val="en-US"/>
        </w:rPr>
        <w:t xml:space="preserve"> (DV)</w:t>
      </w:r>
      <w:r w:rsidR="00395D26">
        <w:rPr>
          <w:rFonts w:ascii="Times New Roman" w:hAnsi="Times New Roman" w:cs="Times New Roman"/>
          <w:sz w:val="24"/>
          <w:szCs w:val="24"/>
          <w:lang w:val="en-US"/>
        </w:rPr>
        <w:tab/>
      </w:r>
      <w:r w:rsidR="00395D26">
        <w:rPr>
          <w:rFonts w:ascii="Times New Roman" w:hAnsi="Times New Roman" w:cs="Times New Roman"/>
          <w:i/>
          <w:sz w:val="24"/>
          <w:szCs w:val="24"/>
          <w:lang w:val="en-US"/>
        </w:rPr>
        <w:t>S</w:t>
      </w:r>
      <w:r w:rsidR="00395D26">
        <w:rPr>
          <w:rFonts w:ascii="Times New Roman" w:hAnsi="Times New Roman" w:cs="Times New Roman"/>
          <w:i/>
          <w:sz w:val="24"/>
          <w:szCs w:val="24"/>
          <w:vertAlign w:val="subscript"/>
          <w:lang w:val="en-US"/>
        </w:rPr>
        <w:t>10</w:t>
      </w:r>
      <w:r w:rsidR="00395D26">
        <w:rPr>
          <w:rFonts w:ascii="Times New Roman" w:hAnsi="Times New Roman" w:cs="Times New Roman"/>
          <w:i/>
          <w:sz w:val="24"/>
          <w:szCs w:val="24"/>
          <w:vertAlign w:val="subscript"/>
          <w:lang w:val="en-US"/>
        </w:rPr>
        <w:tab/>
      </w:r>
      <w:r w:rsidR="00395D26">
        <w:rPr>
          <w:rFonts w:ascii="Times New Roman" w:hAnsi="Times New Roman" w:cs="Times New Roman"/>
          <w:i/>
          <w:sz w:val="24"/>
          <w:szCs w:val="24"/>
          <w:lang w:val="en-US"/>
        </w:rPr>
        <w:t>S</w:t>
      </w:r>
      <w:r w:rsidR="00395D26">
        <w:rPr>
          <w:rFonts w:ascii="Times New Roman" w:hAnsi="Times New Roman" w:cs="Times New Roman"/>
          <w:i/>
          <w:sz w:val="24"/>
          <w:szCs w:val="24"/>
          <w:vertAlign w:val="subscript"/>
          <w:lang w:val="en-US"/>
        </w:rPr>
        <w:t>20</w:t>
      </w:r>
      <w:r w:rsidR="00395D26">
        <w:rPr>
          <w:rFonts w:ascii="Times New Roman" w:hAnsi="Times New Roman" w:cs="Times New Roman"/>
          <w:i/>
          <w:sz w:val="24"/>
          <w:szCs w:val="24"/>
          <w:lang w:val="en-US"/>
        </w:rPr>
        <w:tab/>
        <w:t>S</w:t>
      </w:r>
      <w:r w:rsidR="00395D26">
        <w:rPr>
          <w:rFonts w:ascii="Times New Roman" w:hAnsi="Times New Roman" w:cs="Times New Roman"/>
          <w:i/>
          <w:sz w:val="24"/>
          <w:szCs w:val="24"/>
          <w:vertAlign w:val="subscript"/>
          <w:lang w:val="en-US"/>
        </w:rPr>
        <w:t>30</w:t>
      </w:r>
      <w:r w:rsidR="00395D26">
        <w:rPr>
          <w:rFonts w:ascii="Times New Roman" w:hAnsi="Times New Roman" w:cs="Times New Roman"/>
          <w:i/>
          <w:sz w:val="24"/>
          <w:szCs w:val="24"/>
          <w:lang w:val="en-US"/>
        </w:rPr>
        <w:tab/>
        <w:t>S</w:t>
      </w:r>
      <w:r>
        <w:rPr>
          <w:rFonts w:ascii="Times New Roman" w:hAnsi="Times New Roman" w:cs="Times New Roman"/>
          <w:i/>
          <w:sz w:val="24"/>
          <w:szCs w:val="24"/>
          <w:vertAlign w:val="subscript"/>
          <w:lang w:val="en-US"/>
        </w:rPr>
        <w:t>m</w:t>
      </w:r>
      <w:r w:rsidR="00395D26">
        <w:rPr>
          <w:rFonts w:ascii="Times New Roman" w:hAnsi="Times New Roman" w:cs="Times New Roman"/>
          <w:i/>
          <w:sz w:val="24"/>
          <w:szCs w:val="24"/>
          <w:lang w:val="en-US"/>
        </w:rPr>
        <w:tab/>
      </w:r>
      <w:proofErr w:type="spellStart"/>
      <w:r w:rsidR="00395D26">
        <w:rPr>
          <w:rFonts w:ascii="Times New Roman" w:hAnsi="Times New Roman" w:cs="Times New Roman"/>
          <w:i/>
          <w:sz w:val="24"/>
          <w:szCs w:val="24"/>
          <w:lang w:val="en-US"/>
        </w:rPr>
        <w:t>S</w:t>
      </w:r>
      <w:r>
        <w:rPr>
          <w:rFonts w:ascii="Times New Roman" w:hAnsi="Times New Roman" w:cs="Times New Roman"/>
          <w:i/>
          <w:sz w:val="24"/>
          <w:szCs w:val="24"/>
          <w:vertAlign w:val="subscript"/>
          <w:lang w:val="en-US"/>
        </w:rPr>
        <w:t>m</w:t>
      </w:r>
      <w:proofErr w:type="spellEnd"/>
      <w:r w:rsidR="00395D26">
        <w:rPr>
          <w:rFonts w:ascii="Times New Roman" w:hAnsi="Times New Roman" w:cs="Times New Roman"/>
          <w:i/>
          <w:sz w:val="24"/>
          <w:szCs w:val="24"/>
          <w:lang w:val="en-US"/>
        </w:rPr>
        <w:tab/>
      </w:r>
      <w:proofErr w:type="spellStart"/>
      <w:r w:rsidR="00395D26">
        <w:rPr>
          <w:rFonts w:ascii="Times New Roman" w:hAnsi="Times New Roman" w:cs="Times New Roman"/>
          <w:i/>
          <w:sz w:val="24"/>
          <w:szCs w:val="24"/>
          <w:lang w:val="en-US"/>
        </w:rPr>
        <w:t>S</w:t>
      </w:r>
      <w:r>
        <w:rPr>
          <w:rFonts w:ascii="Times New Roman" w:hAnsi="Times New Roman" w:cs="Times New Roman"/>
          <w:i/>
          <w:sz w:val="24"/>
          <w:szCs w:val="24"/>
          <w:vertAlign w:val="subscript"/>
          <w:lang w:val="en-US"/>
        </w:rPr>
        <w:t>m</w:t>
      </w:r>
      <w:proofErr w:type="spellEnd"/>
      <w:r w:rsidR="001A16FE">
        <w:rPr>
          <w:rFonts w:ascii="Times New Roman" w:hAnsi="Times New Roman" w:cs="Times New Roman"/>
          <w:i/>
          <w:sz w:val="24"/>
          <w:szCs w:val="24"/>
          <w:lang w:val="en-US"/>
        </w:rPr>
        <w:tab/>
        <w:t>D</w:t>
      </w:r>
      <w:r w:rsidR="001A16FE">
        <w:rPr>
          <w:rFonts w:ascii="Times New Roman" w:hAnsi="Times New Roman" w:cs="Times New Roman"/>
          <w:i/>
          <w:sz w:val="24"/>
          <w:szCs w:val="24"/>
          <w:lang w:val="en-US"/>
        </w:rPr>
        <w:tab/>
      </w:r>
      <w:proofErr w:type="spellStart"/>
      <w:r w:rsidR="001A16FE">
        <w:rPr>
          <w:rFonts w:ascii="Times New Roman" w:hAnsi="Times New Roman" w:cs="Times New Roman"/>
          <w:i/>
          <w:sz w:val="24"/>
          <w:szCs w:val="24"/>
          <w:lang w:val="en-US"/>
        </w:rPr>
        <w:t>D</w:t>
      </w:r>
      <w:proofErr w:type="spellEnd"/>
      <w:r w:rsidR="001A16FE">
        <w:rPr>
          <w:rFonts w:ascii="Times New Roman" w:hAnsi="Times New Roman" w:cs="Times New Roman"/>
          <w:i/>
          <w:sz w:val="24"/>
          <w:szCs w:val="24"/>
          <w:lang w:val="en-US"/>
        </w:rPr>
        <w:tab/>
      </w:r>
      <w:proofErr w:type="spellStart"/>
      <w:r w:rsidR="001A16FE">
        <w:rPr>
          <w:rFonts w:ascii="Times New Roman" w:hAnsi="Times New Roman" w:cs="Times New Roman"/>
          <w:i/>
          <w:sz w:val="24"/>
          <w:szCs w:val="24"/>
          <w:lang w:val="en-US"/>
        </w:rPr>
        <w:t>D</w:t>
      </w:r>
      <w:proofErr w:type="spellEnd"/>
    </w:p>
    <w:p w:rsidR="00395D26" w:rsidRPr="001A16FE" w:rsidRDefault="00D946AC" w:rsidP="001A16FE">
      <w:pPr>
        <w:tabs>
          <w:tab w:val="left" w:pos="1843"/>
          <w:tab w:val="left" w:pos="2694"/>
          <w:tab w:val="left" w:pos="3544"/>
          <w:tab w:val="left" w:pos="4395"/>
          <w:tab w:val="left" w:pos="5245"/>
          <w:tab w:val="left" w:pos="6096"/>
          <w:tab w:val="left" w:pos="6946"/>
          <w:tab w:val="left" w:pos="7797"/>
          <w:tab w:val="left" w:pos="8647"/>
        </w:tabs>
        <w:spacing w:after="0" w:line="240" w:lineRule="auto"/>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I</w:t>
      </w:r>
      <w:r w:rsidR="00F354D0">
        <w:rPr>
          <w:rFonts w:ascii="Times New Roman" w:hAnsi="Times New Roman" w:cs="Times New Roman"/>
          <w:sz w:val="24"/>
          <w:szCs w:val="24"/>
          <w:lang w:val="en-US"/>
        </w:rPr>
        <w:t>ndep</w:t>
      </w:r>
      <w:proofErr w:type="spellEnd"/>
      <w:r w:rsidR="00F354D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w:t>
      </w:r>
      <w:r w:rsidR="00F354D0">
        <w:rPr>
          <w:rFonts w:ascii="Times New Roman" w:hAnsi="Times New Roman" w:cs="Times New Roman"/>
          <w:sz w:val="24"/>
          <w:szCs w:val="24"/>
          <w:lang w:val="en-US"/>
        </w:rPr>
        <w:t>ar</w:t>
      </w:r>
      <w:proofErr w:type="spellEnd"/>
      <w:r w:rsidR="00A4535C">
        <w:rPr>
          <w:rFonts w:ascii="Times New Roman" w:hAnsi="Times New Roman" w:cs="Times New Roman"/>
          <w:sz w:val="24"/>
          <w:szCs w:val="24"/>
          <w:lang w:val="en-US"/>
        </w:rPr>
        <w:t xml:space="preserve"> (IV)</w:t>
      </w:r>
      <w:r w:rsidR="00395D26">
        <w:rPr>
          <w:rFonts w:ascii="Times New Roman" w:hAnsi="Times New Roman" w:cs="Times New Roman"/>
          <w:sz w:val="24"/>
          <w:szCs w:val="24"/>
          <w:lang w:val="en-US"/>
        </w:rPr>
        <w:tab/>
      </w:r>
      <w:r w:rsidR="00395D26">
        <w:rPr>
          <w:rFonts w:ascii="Times New Roman" w:hAnsi="Times New Roman" w:cs="Times New Roman"/>
          <w:i/>
          <w:sz w:val="24"/>
          <w:szCs w:val="24"/>
          <w:lang w:val="en-US"/>
        </w:rPr>
        <w:t>D</w:t>
      </w:r>
      <w:r w:rsidR="00395D26">
        <w:rPr>
          <w:rFonts w:ascii="Times New Roman" w:hAnsi="Times New Roman" w:cs="Times New Roman"/>
          <w:i/>
          <w:sz w:val="24"/>
          <w:szCs w:val="24"/>
          <w:vertAlign w:val="subscript"/>
          <w:lang w:val="en-US"/>
        </w:rPr>
        <w:t>10</w:t>
      </w:r>
      <w:r w:rsidR="00395D26">
        <w:rPr>
          <w:rFonts w:ascii="Times New Roman" w:hAnsi="Times New Roman" w:cs="Times New Roman"/>
          <w:sz w:val="24"/>
          <w:szCs w:val="24"/>
          <w:lang w:val="en-US"/>
        </w:rPr>
        <w:tab/>
      </w:r>
      <w:r w:rsidR="00395D26">
        <w:rPr>
          <w:rFonts w:ascii="Times New Roman" w:hAnsi="Times New Roman" w:cs="Times New Roman"/>
          <w:i/>
          <w:sz w:val="24"/>
          <w:szCs w:val="24"/>
          <w:lang w:val="en-US"/>
        </w:rPr>
        <w:t>D</w:t>
      </w:r>
      <w:r w:rsidR="00395D26">
        <w:rPr>
          <w:rFonts w:ascii="Times New Roman" w:hAnsi="Times New Roman" w:cs="Times New Roman"/>
          <w:i/>
          <w:sz w:val="24"/>
          <w:szCs w:val="24"/>
          <w:vertAlign w:val="subscript"/>
          <w:lang w:val="en-US"/>
        </w:rPr>
        <w:t>20</w:t>
      </w:r>
      <w:r w:rsidR="00395D26">
        <w:rPr>
          <w:rFonts w:ascii="Times New Roman" w:hAnsi="Times New Roman" w:cs="Times New Roman"/>
          <w:i/>
          <w:sz w:val="24"/>
          <w:szCs w:val="24"/>
          <w:lang w:val="en-US"/>
        </w:rPr>
        <w:tab/>
        <w:t>D</w:t>
      </w:r>
      <w:r w:rsidR="00395D26">
        <w:rPr>
          <w:rFonts w:ascii="Times New Roman" w:hAnsi="Times New Roman" w:cs="Times New Roman"/>
          <w:i/>
          <w:sz w:val="24"/>
          <w:szCs w:val="24"/>
          <w:vertAlign w:val="subscript"/>
          <w:lang w:val="en-US"/>
        </w:rPr>
        <w:t>30</w:t>
      </w:r>
      <w:r w:rsidR="00395D26">
        <w:rPr>
          <w:rFonts w:ascii="Times New Roman" w:hAnsi="Times New Roman" w:cs="Times New Roman"/>
          <w:i/>
          <w:sz w:val="24"/>
          <w:szCs w:val="24"/>
          <w:lang w:val="en-US"/>
        </w:rPr>
        <w:tab/>
        <w:t>D</w:t>
      </w:r>
      <w:r w:rsidR="00395D26">
        <w:rPr>
          <w:rFonts w:ascii="Times New Roman" w:hAnsi="Times New Roman" w:cs="Times New Roman"/>
          <w:i/>
          <w:sz w:val="24"/>
          <w:szCs w:val="24"/>
          <w:vertAlign w:val="subscript"/>
          <w:lang w:val="en-US"/>
        </w:rPr>
        <w:t>10</w:t>
      </w:r>
      <w:r w:rsidR="00395D26">
        <w:rPr>
          <w:rFonts w:ascii="Times New Roman" w:hAnsi="Times New Roman" w:cs="Times New Roman"/>
          <w:i/>
          <w:sz w:val="24"/>
          <w:szCs w:val="24"/>
          <w:lang w:val="en-US"/>
        </w:rPr>
        <w:tab/>
        <w:t>D</w:t>
      </w:r>
      <w:r w:rsidR="00395D26">
        <w:rPr>
          <w:rFonts w:ascii="Times New Roman" w:hAnsi="Times New Roman" w:cs="Times New Roman"/>
          <w:i/>
          <w:sz w:val="24"/>
          <w:szCs w:val="24"/>
          <w:vertAlign w:val="subscript"/>
          <w:lang w:val="en-US"/>
        </w:rPr>
        <w:t>20</w:t>
      </w:r>
      <w:r w:rsidR="00395D26">
        <w:rPr>
          <w:rFonts w:ascii="Times New Roman" w:hAnsi="Times New Roman" w:cs="Times New Roman"/>
          <w:i/>
          <w:sz w:val="24"/>
          <w:szCs w:val="24"/>
          <w:lang w:val="en-US"/>
        </w:rPr>
        <w:tab/>
        <w:t>D</w:t>
      </w:r>
      <w:r w:rsidR="00395D26">
        <w:rPr>
          <w:rFonts w:ascii="Times New Roman" w:hAnsi="Times New Roman" w:cs="Times New Roman"/>
          <w:i/>
          <w:sz w:val="24"/>
          <w:szCs w:val="24"/>
          <w:vertAlign w:val="subscript"/>
          <w:lang w:val="en-US"/>
        </w:rPr>
        <w:t>30</w:t>
      </w:r>
      <w:r w:rsidR="001A16FE">
        <w:rPr>
          <w:rFonts w:ascii="Times New Roman" w:hAnsi="Times New Roman" w:cs="Times New Roman"/>
          <w:i/>
          <w:sz w:val="24"/>
          <w:szCs w:val="24"/>
          <w:lang w:val="en-US"/>
        </w:rPr>
        <w:tab/>
        <w:t>D</w:t>
      </w:r>
      <w:r w:rsidR="001A16FE">
        <w:rPr>
          <w:rFonts w:ascii="Times New Roman" w:hAnsi="Times New Roman" w:cs="Times New Roman"/>
          <w:i/>
          <w:sz w:val="24"/>
          <w:szCs w:val="24"/>
          <w:vertAlign w:val="subscript"/>
          <w:lang w:val="en-US"/>
        </w:rPr>
        <w:t>10</w:t>
      </w:r>
      <w:r w:rsidR="001A16FE">
        <w:rPr>
          <w:rFonts w:ascii="Times New Roman" w:hAnsi="Times New Roman" w:cs="Times New Roman"/>
          <w:i/>
          <w:sz w:val="24"/>
          <w:szCs w:val="24"/>
          <w:lang w:val="en-US"/>
        </w:rPr>
        <w:tab/>
        <w:t>D</w:t>
      </w:r>
      <w:r w:rsidR="001A16FE">
        <w:rPr>
          <w:rFonts w:ascii="Times New Roman" w:hAnsi="Times New Roman" w:cs="Times New Roman"/>
          <w:i/>
          <w:sz w:val="24"/>
          <w:szCs w:val="24"/>
          <w:vertAlign w:val="subscript"/>
          <w:lang w:val="en-US"/>
        </w:rPr>
        <w:t>20</w:t>
      </w:r>
      <w:r w:rsidR="001A16FE">
        <w:rPr>
          <w:rFonts w:ascii="Times New Roman" w:hAnsi="Times New Roman" w:cs="Times New Roman"/>
          <w:i/>
          <w:sz w:val="24"/>
          <w:szCs w:val="24"/>
          <w:lang w:val="en-US"/>
        </w:rPr>
        <w:tab/>
        <w:t>D</w:t>
      </w:r>
      <w:r w:rsidR="001A16FE">
        <w:rPr>
          <w:rFonts w:ascii="Times New Roman" w:hAnsi="Times New Roman" w:cs="Times New Roman"/>
          <w:i/>
          <w:sz w:val="24"/>
          <w:szCs w:val="24"/>
          <w:vertAlign w:val="subscript"/>
          <w:lang w:val="en-US"/>
        </w:rPr>
        <w:t>30</w:t>
      </w:r>
    </w:p>
    <w:p w:rsidR="00395D26" w:rsidRDefault="00395D26" w:rsidP="008545F8">
      <w:pPr>
        <w:tabs>
          <w:tab w:val="left" w:pos="2552"/>
          <w:tab w:val="left" w:pos="3686"/>
          <w:tab w:val="left" w:pos="4820"/>
          <w:tab w:val="left" w:pos="5954"/>
          <w:tab w:val="left" w:pos="7088"/>
          <w:tab w:val="left" w:pos="8222"/>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8545F8" w:rsidRDefault="008545F8" w:rsidP="00D946AC">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Mean DV value</w:t>
      </w:r>
      <w:r w:rsidR="000C7A59">
        <w:rPr>
          <w:rFonts w:ascii="Times New Roman" w:hAnsi="Times New Roman" w:cs="Times New Roman"/>
          <w:sz w:val="24"/>
          <w:szCs w:val="24"/>
          <w:lang w:val="en-US"/>
        </w:rPr>
        <w:tab/>
        <w:t>68</w:t>
      </w:r>
      <w:r w:rsidR="000C7A59">
        <w:rPr>
          <w:rFonts w:ascii="Times New Roman" w:hAnsi="Times New Roman" w:cs="Times New Roman"/>
          <w:sz w:val="24"/>
          <w:szCs w:val="24"/>
          <w:lang w:val="en-US"/>
        </w:rPr>
        <w:tab/>
        <w:t>77</w:t>
      </w:r>
      <w:r w:rsidR="000C7A59">
        <w:rPr>
          <w:rFonts w:ascii="Times New Roman" w:hAnsi="Times New Roman" w:cs="Times New Roman"/>
          <w:sz w:val="24"/>
          <w:szCs w:val="24"/>
          <w:lang w:val="en-US"/>
        </w:rPr>
        <w:tab/>
        <w:t>79</w:t>
      </w:r>
      <w:r w:rsidR="000C7A59">
        <w:rPr>
          <w:rFonts w:ascii="Times New Roman" w:hAnsi="Times New Roman" w:cs="Times New Roman"/>
          <w:sz w:val="24"/>
          <w:szCs w:val="24"/>
          <w:lang w:val="en-US"/>
        </w:rPr>
        <w:tab/>
        <w:t>81</w:t>
      </w:r>
      <w:r w:rsidR="000C7A59">
        <w:rPr>
          <w:rFonts w:ascii="Times New Roman" w:hAnsi="Times New Roman" w:cs="Times New Roman"/>
          <w:sz w:val="24"/>
          <w:szCs w:val="24"/>
          <w:lang w:val="en-US"/>
        </w:rPr>
        <w:tab/>
        <w:t>81</w:t>
      </w:r>
      <w:r w:rsidR="000C7A59">
        <w:rPr>
          <w:rFonts w:ascii="Times New Roman" w:hAnsi="Times New Roman" w:cs="Times New Roman"/>
          <w:sz w:val="24"/>
          <w:szCs w:val="24"/>
          <w:lang w:val="en-US"/>
        </w:rPr>
        <w:tab/>
        <w:t>81</w:t>
      </w:r>
      <w:r w:rsidR="001A16FE">
        <w:rPr>
          <w:rFonts w:ascii="Times New Roman" w:hAnsi="Times New Roman" w:cs="Times New Roman"/>
          <w:sz w:val="24"/>
          <w:szCs w:val="24"/>
          <w:lang w:val="en-US"/>
        </w:rPr>
        <w:tab/>
        <w:t>198</w:t>
      </w:r>
      <w:r w:rsidR="001A16FE">
        <w:rPr>
          <w:rFonts w:ascii="Times New Roman" w:hAnsi="Times New Roman" w:cs="Times New Roman"/>
          <w:sz w:val="24"/>
          <w:szCs w:val="24"/>
          <w:lang w:val="en-US"/>
        </w:rPr>
        <w:tab/>
        <w:t>198</w:t>
      </w:r>
      <w:r w:rsidR="001A16FE">
        <w:rPr>
          <w:rFonts w:ascii="Times New Roman" w:hAnsi="Times New Roman" w:cs="Times New Roman"/>
          <w:sz w:val="24"/>
          <w:szCs w:val="24"/>
          <w:lang w:val="en-US"/>
        </w:rPr>
        <w:tab/>
        <w:t>198</w:t>
      </w:r>
    </w:p>
    <w:p w:rsidR="008545F8" w:rsidRDefault="00D946AC" w:rsidP="00D946AC">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Mean IV</w:t>
      </w:r>
      <w:r w:rsidR="008545F8">
        <w:rPr>
          <w:rFonts w:ascii="Times New Roman" w:hAnsi="Times New Roman" w:cs="Times New Roman"/>
          <w:sz w:val="24"/>
          <w:szCs w:val="24"/>
          <w:lang w:val="en-US"/>
        </w:rPr>
        <w:t xml:space="preserve"> value</w:t>
      </w:r>
      <w:r w:rsidR="000C7A59">
        <w:rPr>
          <w:rFonts w:ascii="Times New Roman" w:hAnsi="Times New Roman" w:cs="Times New Roman"/>
          <w:sz w:val="24"/>
          <w:szCs w:val="24"/>
          <w:lang w:val="en-US"/>
        </w:rPr>
        <w:tab/>
        <w:t>3</w:t>
      </w:r>
      <w:r w:rsidR="000C7A59">
        <w:rPr>
          <w:rFonts w:ascii="Times New Roman" w:hAnsi="Times New Roman" w:cs="Times New Roman"/>
          <w:sz w:val="24"/>
          <w:szCs w:val="24"/>
          <w:lang w:val="en-US"/>
        </w:rPr>
        <w:tab/>
        <w:t>17</w:t>
      </w:r>
      <w:r w:rsidR="000C7A59">
        <w:rPr>
          <w:rFonts w:ascii="Times New Roman" w:hAnsi="Times New Roman" w:cs="Times New Roman"/>
          <w:sz w:val="24"/>
          <w:szCs w:val="24"/>
          <w:lang w:val="en-US"/>
        </w:rPr>
        <w:tab/>
        <w:t>50</w:t>
      </w:r>
      <w:r w:rsidR="000C7A59">
        <w:rPr>
          <w:rFonts w:ascii="Times New Roman" w:hAnsi="Times New Roman" w:cs="Times New Roman"/>
          <w:sz w:val="24"/>
          <w:szCs w:val="24"/>
          <w:lang w:val="en-US"/>
        </w:rPr>
        <w:tab/>
        <w:t>3</w:t>
      </w:r>
      <w:r w:rsidR="000C7A59">
        <w:rPr>
          <w:rFonts w:ascii="Times New Roman" w:hAnsi="Times New Roman" w:cs="Times New Roman"/>
          <w:sz w:val="24"/>
          <w:szCs w:val="24"/>
          <w:lang w:val="en-US"/>
        </w:rPr>
        <w:tab/>
        <w:t>17</w:t>
      </w:r>
      <w:r w:rsidR="000C7A59">
        <w:rPr>
          <w:rFonts w:ascii="Times New Roman" w:hAnsi="Times New Roman" w:cs="Times New Roman"/>
          <w:sz w:val="24"/>
          <w:szCs w:val="24"/>
          <w:lang w:val="en-US"/>
        </w:rPr>
        <w:tab/>
        <w:t>50</w:t>
      </w:r>
      <w:r w:rsidR="00A4535C">
        <w:rPr>
          <w:rFonts w:ascii="Times New Roman" w:hAnsi="Times New Roman" w:cs="Times New Roman"/>
          <w:sz w:val="24"/>
          <w:szCs w:val="24"/>
          <w:lang w:val="en-US"/>
        </w:rPr>
        <w:tab/>
        <w:t>3</w:t>
      </w:r>
      <w:r w:rsidR="00A4535C">
        <w:rPr>
          <w:rFonts w:ascii="Times New Roman" w:hAnsi="Times New Roman" w:cs="Times New Roman"/>
          <w:sz w:val="24"/>
          <w:szCs w:val="24"/>
          <w:lang w:val="en-US"/>
        </w:rPr>
        <w:tab/>
        <w:t>17</w:t>
      </w:r>
      <w:r w:rsidR="00A4535C">
        <w:rPr>
          <w:rFonts w:ascii="Times New Roman" w:hAnsi="Times New Roman" w:cs="Times New Roman"/>
          <w:sz w:val="24"/>
          <w:szCs w:val="24"/>
          <w:lang w:val="en-US"/>
        </w:rPr>
        <w:tab/>
        <w:t>50</w:t>
      </w:r>
    </w:p>
    <w:p w:rsidR="00395D26" w:rsidRDefault="00D946AC" w:rsidP="00D946AC">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Coeff</w:t>
      </w:r>
      <w:proofErr w:type="spellEnd"/>
      <w:r w:rsidR="00B7666C">
        <w:rPr>
          <w:rFonts w:ascii="Times New Roman" w:hAnsi="Times New Roman" w:cs="Times New Roman"/>
          <w:sz w:val="24"/>
          <w:szCs w:val="24"/>
          <w:lang w:val="en-US"/>
        </w:rPr>
        <w:t xml:space="preserve"> on DV</w:t>
      </w:r>
      <w:r w:rsidR="00395D26">
        <w:rPr>
          <w:rFonts w:ascii="Times New Roman" w:hAnsi="Times New Roman" w:cs="Times New Roman"/>
          <w:sz w:val="24"/>
          <w:szCs w:val="24"/>
          <w:lang w:val="en-US"/>
        </w:rPr>
        <w:tab/>
        <w:t>1.9</w:t>
      </w:r>
      <w:r w:rsidR="00395D26">
        <w:rPr>
          <w:rFonts w:ascii="Times New Roman" w:hAnsi="Times New Roman" w:cs="Times New Roman"/>
          <w:sz w:val="24"/>
          <w:szCs w:val="24"/>
          <w:lang w:val="en-US"/>
        </w:rPr>
        <w:tab/>
        <w:t>-.07</w:t>
      </w:r>
      <w:r w:rsidR="00395D26">
        <w:rPr>
          <w:rFonts w:ascii="Times New Roman" w:hAnsi="Times New Roman" w:cs="Times New Roman"/>
          <w:sz w:val="24"/>
          <w:szCs w:val="24"/>
          <w:lang w:val="en-US"/>
        </w:rPr>
        <w:tab/>
        <w:t>.002</w:t>
      </w:r>
      <w:r w:rsidR="00395D26">
        <w:rPr>
          <w:rFonts w:ascii="Times New Roman" w:hAnsi="Times New Roman" w:cs="Times New Roman"/>
          <w:sz w:val="24"/>
          <w:szCs w:val="24"/>
          <w:lang w:val="en-US"/>
        </w:rPr>
        <w:tab/>
        <w:t>-.57</w:t>
      </w:r>
      <w:r w:rsidR="00395D26">
        <w:rPr>
          <w:rFonts w:ascii="Times New Roman" w:hAnsi="Times New Roman" w:cs="Times New Roman"/>
          <w:sz w:val="24"/>
          <w:szCs w:val="24"/>
          <w:lang w:val="en-US"/>
        </w:rPr>
        <w:tab/>
        <w:t>-.10</w:t>
      </w:r>
      <w:r w:rsidR="00395D26">
        <w:rPr>
          <w:rFonts w:ascii="Times New Roman" w:hAnsi="Times New Roman" w:cs="Times New Roman"/>
          <w:sz w:val="24"/>
          <w:szCs w:val="24"/>
          <w:lang w:val="en-US"/>
        </w:rPr>
        <w:tab/>
        <w:t>-.02</w:t>
      </w:r>
      <w:r w:rsidR="001A16FE">
        <w:rPr>
          <w:rFonts w:ascii="Times New Roman" w:hAnsi="Times New Roman" w:cs="Times New Roman"/>
          <w:sz w:val="24"/>
          <w:szCs w:val="24"/>
          <w:lang w:val="en-US"/>
        </w:rPr>
        <w:tab/>
        <w:t>7.8</w:t>
      </w:r>
      <w:r w:rsidR="001A16FE">
        <w:rPr>
          <w:rFonts w:ascii="Times New Roman" w:hAnsi="Times New Roman" w:cs="Times New Roman"/>
          <w:sz w:val="24"/>
          <w:szCs w:val="24"/>
          <w:lang w:val="en-US"/>
        </w:rPr>
        <w:tab/>
        <w:t>7.4</w:t>
      </w:r>
      <w:r w:rsidR="001A16FE">
        <w:rPr>
          <w:rFonts w:ascii="Times New Roman" w:hAnsi="Times New Roman" w:cs="Times New Roman"/>
          <w:sz w:val="24"/>
          <w:szCs w:val="24"/>
          <w:lang w:val="en-US"/>
        </w:rPr>
        <w:tab/>
        <w:t>2.8</w:t>
      </w:r>
    </w:p>
    <w:p w:rsidR="00D3249D" w:rsidRDefault="00395D26" w:rsidP="00D3249D">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sz w:val="24"/>
          <w:szCs w:val="24"/>
          <w:lang w:val="en-US"/>
        </w:rPr>
      </w:pPr>
      <w:r w:rsidRPr="00395D26">
        <w:rPr>
          <w:rFonts w:ascii="Times New Roman" w:hAnsi="Times New Roman" w:cs="Times New Roman"/>
          <w:i/>
          <w:sz w:val="24"/>
          <w:szCs w:val="24"/>
          <w:lang w:val="en-US"/>
        </w:rPr>
        <w:t>P</w:t>
      </w:r>
      <w:r>
        <w:rPr>
          <w:rFonts w:ascii="Times New Roman" w:hAnsi="Times New Roman" w:cs="Times New Roman"/>
          <w:sz w:val="24"/>
          <w:szCs w:val="24"/>
          <w:lang w:val="en-US"/>
        </w:rPr>
        <w:t xml:space="preserve"> Value</w:t>
      </w:r>
      <w:r w:rsidR="00FF63BA">
        <w:rPr>
          <w:rFonts w:ascii="Times New Roman" w:hAnsi="Times New Roman" w:cs="Times New Roman"/>
          <w:sz w:val="24"/>
          <w:szCs w:val="24"/>
          <w:lang w:val="en-US"/>
        </w:rPr>
        <w:t xml:space="preserve"> for DV</w:t>
      </w:r>
      <w:r>
        <w:rPr>
          <w:rFonts w:ascii="Times New Roman" w:hAnsi="Times New Roman" w:cs="Times New Roman"/>
          <w:sz w:val="24"/>
          <w:szCs w:val="24"/>
          <w:lang w:val="en-US"/>
        </w:rPr>
        <w:tab/>
        <w:t>.09</w:t>
      </w:r>
      <w:r>
        <w:rPr>
          <w:rFonts w:ascii="Times New Roman" w:hAnsi="Times New Roman" w:cs="Times New Roman"/>
          <w:sz w:val="24"/>
          <w:szCs w:val="24"/>
          <w:lang w:val="en-US"/>
        </w:rPr>
        <w:tab/>
        <w:t>.59</w:t>
      </w:r>
      <w:r>
        <w:rPr>
          <w:rFonts w:ascii="Times New Roman" w:hAnsi="Times New Roman" w:cs="Times New Roman"/>
          <w:sz w:val="24"/>
          <w:szCs w:val="24"/>
          <w:lang w:val="en-US"/>
        </w:rPr>
        <w:tab/>
        <w:t>.96</w:t>
      </w:r>
      <w:r>
        <w:rPr>
          <w:rFonts w:ascii="Times New Roman" w:hAnsi="Times New Roman" w:cs="Times New Roman"/>
          <w:sz w:val="24"/>
          <w:szCs w:val="24"/>
          <w:lang w:val="en-US"/>
        </w:rPr>
        <w:tab/>
        <w:t>.37</w:t>
      </w:r>
      <w:r>
        <w:rPr>
          <w:rFonts w:ascii="Times New Roman" w:hAnsi="Times New Roman" w:cs="Times New Roman"/>
          <w:sz w:val="24"/>
          <w:szCs w:val="24"/>
          <w:lang w:val="en-US"/>
        </w:rPr>
        <w:tab/>
        <w:t>.37</w:t>
      </w:r>
      <w:r>
        <w:rPr>
          <w:rFonts w:ascii="Times New Roman" w:hAnsi="Times New Roman" w:cs="Times New Roman"/>
          <w:sz w:val="24"/>
          <w:szCs w:val="24"/>
          <w:lang w:val="en-US"/>
        </w:rPr>
        <w:tab/>
        <w:t>.52</w:t>
      </w:r>
      <w:r w:rsidR="00D3249D">
        <w:rPr>
          <w:rFonts w:ascii="Times New Roman" w:hAnsi="Times New Roman" w:cs="Times New Roman"/>
          <w:sz w:val="24"/>
          <w:szCs w:val="24"/>
          <w:lang w:val="en-US"/>
        </w:rPr>
        <w:tab/>
        <w:t>.53</w:t>
      </w:r>
      <w:r w:rsidR="00D3249D">
        <w:rPr>
          <w:rFonts w:ascii="Times New Roman" w:hAnsi="Times New Roman" w:cs="Times New Roman"/>
          <w:sz w:val="24"/>
          <w:szCs w:val="24"/>
          <w:lang w:val="en-US"/>
        </w:rPr>
        <w:tab/>
        <w:t>0</w:t>
      </w:r>
      <w:r w:rsidR="00D3249D">
        <w:rPr>
          <w:rFonts w:ascii="Times New Roman" w:hAnsi="Times New Roman" w:cs="Times New Roman"/>
          <w:sz w:val="24"/>
          <w:szCs w:val="24"/>
          <w:lang w:val="en-US"/>
        </w:rPr>
        <w:tab/>
        <w:t>0</w:t>
      </w:r>
    </w:p>
    <w:p w:rsidR="00D3249D" w:rsidRPr="00D3249D" w:rsidRDefault="00D3249D" w:rsidP="00D3249D">
      <w:pPr>
        <w:tabs>
          <w:tab w:val="left" w:pos="1843"/>
          <w:tab w:val="left" w:pos="2694"/>
          <w:tab w:val="left" w:pos="3544"/>
          <w:tab w:val="left" w:pos="4395"/>
          <w:tab w:val="left" w:pos="5245"/>
          <w:tab w:val="left" w:pos="6096"/>
          <w:tab w:val="left" w:pos="6946"/>
          <w:tab w:val="left" w:pos="7797"/>
          <w:tab w:val="left" w:pos="8647"/>
        </w:tabs>
        <w:spacing w:after="0" w:line="360" w:lineRule="auto"/>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 xml:space="preserve">Adjusted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Pr>
          <w:rFonts w:ascii="Times New Roman" w:eastAsiaTheme="minorEastAsia" w:hAnsi="Times New Roman" w:cs="Times New Roman"/>
          <w:sz w:val="24"/>
          <w:szCs w:val="24"/>
          <w:lang w:val="en-US"/>
        </w:rPr>
        <w:tab/>
        <w:t>.06</w:t>
      </w:r>
      <w:r>
        <w:rPr>
          <w:rFonts w:ascii="Times New Roman" w:eastAsiaTheme="minorEastAsia" w:hAnsi="Times New Roman" w:cs="Times New Roman"/>
          <w:sz w:val="24"/>
          <w:szCs w:val="24"/>
          <w:lang w:val="en-US"/>
        </w:rPr>
        <w:tab/>
        <w:t>-.02</w:t>
      </w:r>
      <w:r>
        <w:rPr>
          <w:rFonts w:ascii="Times New Roman" w:eastAsiaTheme="minorEastAsia" w:hAnsi="Times New Roman" w:cs="Times New Roman"/>
          <w:sz w:val="24"/>
          <w:szCs w:val="24"/>
          <w:lang w:val="en-US"/>
        </w:rPr>
        <w:tab/>
        <w:t>-.03</w:t>
      </w:r>
      <w:r>
        <w:rPr>
          <w:rFonts w:ascii="Times New Roman" w:eastAsiaTheme="minorEastAsia" w:hAnsi="Times New Roman" w:cs="Times New Roman"/>
          <w:sz w:val="24"/>
          <w:szCs w:val="24"/>
          <w:lang w:val="en-US"/>
        </w:rPr>
        <w:tab/>
        <w:t>-.01</w:t>
      </w:r>
      <w:r>
        <w:rPr>
          <w:rFonts w:ascii="Times New Roman" w:eastAsiaTheme="minorEastAsia" w:hAnsi="Times New Roman" w:cs="Times New Roman"/>
          <w:sz w:val="24"/>
          <w:szCs w:val="24"/>
          <w:lang w:val="en-US"/>
        </w:rPr>
        <w:tab/>
        <w:t>-.01</w:t>
      </w:r>
      <w:r>
        <w:rPr>
          <w:rFonts w:ascii="Times New Roman" w:eastAsiaTheme="minorEastAsia" w:hAnsi="Times New Roman" w:cs="Times New Roman"/>
          <w:sz w:val="24"/>
          <w:szCs w:val="24"/>
          <w:lang w:val="en-US"/>
        </w:rPr>
        <w:tab/>
        <w:t>-.02</w:t>
      </w:r>
      <w:r>
        <w:rPr>
          <w:rFonts w:ascii="Times New Roman" w:eastAsiaTheme="minorEastAsia" w:hAnsi="Times New Roman" w:cs="Times New Roman"/>
          <w:sz w:val="24"/>
          <w:szCs w:val="24"/>
          <w:lang w:val="en-US"/>
        </w:rPr>
        <w:tab/>
        <w:t>-.02</w:t>
      </w:r>
      <w:r>
        <w:rPr>
          <w:rFonts w:ascii="Times New Roman" w:eastAsiaTheme="minorEastAsia" w:hAnsi="Times New Roman" w:cs="Times New Roman"/>
          <w:sz w:val="24"/>
          <w:szCs w:val="24"/>
          <w:lang w:val="en-US"/>
        </w:rPr>
        <w:tab/>
        <w:t>.40</w:t>
      </w:r>
      <w:r>
        <w:rPr>
          <w:rFonts w:ascii="Times New Roman" w:eastAsiaTheme="minorEastAsia" w:hAnsi="Times New Roman" w:cs="Times New Roman"/>
          <w:sz w:val="24"/>
          <w:szCs w:val="24"/>
          <w:lang w:val="en-US"/>
        </w:rPr>
        <w:tab/>
        <w:t>.66</w:t>
      </w:r>
    </w:p>
    <w:p w:rsidR="00395D26" w:rsidRDefault="00395D26" w:rsidP="00395D2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___________________________________________________________________________ </w:t>
      </w:r>
    </w:p>
    <w:p w:rsidR="00395D26" w:rsidRDefault="00395D26" w:rsidP="00804186">
      <w:pPr>
        <w:spacing w:after="0" w:line="360" w:lineRule="auto"/>
        <w:jc w:val="both"/>
        <w:rPr>
          <w:rFonts w:ascii="Times New Roman" w:hAnsi="Times New Roman" w:cs="Times New Roman"/>
          <w:sz w:val="24"/>
          <w:szCs w:val="24"/>
          <w:lang w:val="en-US"/>
        </w:rPr>
      </w:pPr>
    </w:p>
    <w:p w:rsidR="00A01844" w:rsidRDefault="00A01844"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raises the interesting question of what does then explain the maximum </w:t>
      </w:r>
      <w:r w:rsidRPr="00A01844">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values.  Regressing </w:t>
      </w:r>
      <w:r w:rsidR="00BE7A8E">
        <w:rPr>
          <w:rFonts w:ascii="Times New Roman" w:hAnsi="Times New Roman" w:cs="Times New Roman"/>
          <w:sz w:val="24"/>
          <w:szCs w:val="24"/>
          <w:lang w:val="en-US"/>
        </w:rPr>
        <w:t>this variable on the variables used in or tes</w:t>
      </w:r>
      <w:r w:rsidR="00EA2F07">
        <w:rPr>
          <w:rFonts w:ascii="Times New Roman" w:hAnsi="Times New Roman" w:cs="Times New Roman"/>
          <w:sz w:val="24"/>
          <w:szCs w:val="24"/>
          <w:lang w:val="en-US"/>
        </w:rPr>
        <w:t>ted for inclusion in equation (10</w:t>
      </w:r>
      <w:r w:rsidR="00BE7A8E">
        <w:rPr>
          <w:rFonts w:ascii="Times New Roman" w:hAnsi="Times New Roman" w:cs="Times New Roman"/>
          <w:sz w:val="24"/>
          <w:szCs w:val="24"/>
          <w:lang w:val="en-US"/>
        </w:rPr>
        <w:t xml:space="preserve">), being </w:t>
      </w:r>
      <w:r>
        <w:rPr>
          <w:rFonts w:ascii="Times New Roman" w:hAnsi="Times New Roman" w:cs="Times New Roman"/>
          <w:sz w:val="24"/>
          <w:szCs w:val="24"/>
          <w:lang w:val="en-US"/>
        </w:rPr>
        <w:t>population density, date of first death, proportion of population over 65, beds per 100,000 people, GDP per capita, and household size</w:t>
      </w:r>
      <w:r w:rsidR="00BE7A8E">
        <w:rPr>
          <w:rFonts w:ascii="Times New Roman" w:hAnsi="Times New Roman" w:cs="Times New Roman"/>
          <w:sz w:val="24"/>
          <w:szCs w:val="24"/>
          <w:lang w:val="en-US"/>
        </w:rPr>
        <w:t>,</w:t>
      </w:r>
      <w:r>
        <w:rPr>
          <w:rFonts w:ascii="Times New Roman" w:hAnsi="Times New Roman" w:cs="Times New Roman"/>
          <w:sz w:val="24"/>
          <w:szCs w:val="24"/>
          <w:lang w:val="en-US"/>
        </w:rPr>
        <w:t xml:space="preserve"> yielded no statistically significant coefficients.  However, ranking the maximum </w:t>
      </w:r>
      <w:r w:rsidRPr="00A01844">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values from highest to lowest </w:t>
      </w:r>
      <w:r w:rsidR="00BE7A8E">
        <w:rPr>
          <w:rFonts w:ascii="Times New Roman" w:hAnsi="Times New Roman" w:cs="Times New Roman"/>
          <w:sz w:val="24"/>
          <w:szCs w:val="24"/>
          <w:lang w:val="en-US"/>
        </w:rPr>
        <w:t xml:space="preserve">(see Appendix 2) </w:t>
      </w:r>
      <w:r>
        <w:rPr>
          <w:rFonts w:ascii="Times New Roman" w:hAnsi="Times New Roman" w:cs="Times New Roman"/>
          <w:sz w:val="24"/>
          <w:szCs w:val="24"/>
          <w:lang w:val="en-US"/>
        </w:rPr>
        <w:t xml:space="preserve">reveals that the four </w:t>
      </w:r>
      <w:r w:rsidR="00C6328C">
        <w:rPr>
          <w:rFonts w:ascii="Times New Roman" w:hAnsi="Times New Roman" w:cs="Times New Roman"/>
          <w:sz w:val="24"/>
          <w:szCs w:val="24"/>
          <w:lang w:val="en-US"/>
        </w:rPr>
        <w:t xml:space="preserve">countries arising from the breakup of </w:t>
      </w:r>
      <w:r>
        <w:rPr>
          <w:rFonts w:ascii="Times New Roman" w:hAnsi="Times New Roman" w:cs="Times New Roman"/>
          <w:sz w:val="24"/>
          <w:szCs w:val="24"/>
          <w:lang w:val="en-US"/>
        </w:rPr>
        <w:t xml:space="preserve">Yugoslavia occupy </w:t>
      </w:r>
      <w:r w:rsidR="006B34C6">
        <w:rPr>
          <w:rFonts w:ascii="Times New Roman" w:hAnsi="Times New Roman" w:cs="Times New Roman"/>
          <w:sz w:val="24"/>
          <w:szCs w:val="24"/>
          <w:lang w:val="en-US"/>
        </w:rPr>
        <w:t xml:space="preserve">four of </w:t>
      </w:r>
      <w:r>
        <w:rPr>
          <w:rFonts w:ascii="Times New Roman" w:hAnsi="Times New Roman" w:cs="Times New Roman"/>
          <w:sz w:val="24"/>
          <w:szCs w:val="24"/>
          <w:lang w:val="en-US"/>
        </w:rPr>
        <w:t xml:space="preserve">the </w:t>
      </w:r>
      <w:r w:rsidR="006B34C6">
        <w:rPr>
          <w:rFonts w:ascii="Times New Roman" w:hAnsi="Times New Roman" w:cs="Times New Roman"/>
          <w:sz w:val="24"/>
          <w:szCs w:val="24"/>
          <w:lang w:val="en-US"/>
        </w:rPr>
        <w:t>‘</w:t>
      </w:r>
      <w:r>
        <w:rPr>
          <w:rFonts w:ascii="Times New Roman" w:hAnsi="Times New Roman" w:cs="Times New Roman"/>
          <w:sz w:val="24"/>
          <w:szCs w:val="24"/>
          <w:lang w:val="en-US"/>
        </w:rPr>
        <w:t>top</w:t>
      </w:r>
      <w:r w:rsidR="006B34C6">
        <w:rPr>
          <w:rFonts w:ascii="Times New Roman" w:hAnsi="Times New Roman" w:cs="Times New Roman"/>
          <w:sz w:val="24"/>
          <w:szCs w:val="24"/>
          <w:lang w:val="en-US"/>
        </w:rPr>
        <w:t>’</w:t>
      </w:r>
      <w:r>
        <w:rPr>
          <w:rFonts w:ascii="Times New Roman" w:hAnsi="Times New Roman" w:cs="Times New Roman"/>
          <w:sz w:val="24"/>
          <w:szCs w:val="24"/>
          <w:lang w:val="en-US"/>
        </w:rPr>
        <w:t xml:space="preserve"> six slots (with an average </w:t>
      </w:r>
      <w:r w:rsidRPr="00BE7A8E">
        <w:rPr>
          <w:rFonts w:ascii="Times New Roman" w:hAnsi="Times New Roman" w:cs="Times New Roman"/>
          <w:i/>
          <w:sz w:val="24"/>
          <w:szCs w:val="24"/>
          <w:lang w:val="en-US"/>
        </w:rPr>
        <w:t>S</w:t>
      </w:r>
      <w:r>
        <w:rPr>
          <w:rFonts w:ascii="Times New Roman" w:hAnsi="Times New Roman" w:cs="Times New Roman"/>
          <w:sz w:val="24"/>
          <w:szCs w:val="24"/>
          <w:lang w:val="en-US"/>
        </w:rPr>
        <w:t xml:space="preserve"> value of 95) and the five Scandinavian countries </w:t>
      </w:r>
      <w:r w:rsidR="00BE7A8E">
        <w:rPr>
          <w:rFonts w:ascii="Times New Roman" w:hAnsi="Times New Roman" w:cs="Times New Roman"/>
          <w:sz w:val="24"/>
          <w:szCs w:val="24"/>
          <w:lang w:val="en-US"/>
        </w:rPr>
        <w:t xml:space="preserve">occupy </w:t>
      </w:r>
      <w:r w:rsidR="006B34C6">
        <w:rPr>
          <w:rFonts w:ascii="Times New Roman" w:hAnsi="Times New Roman" w:cs="Times New Roman"/>
          <w:sz w:val="24"/>
          <w:szCs w:val="24"/>
          <w:lang w:val="en-US"/>
        </w:rPr>
        <w:t xml:space="preserve">four of the ‘bottom’ five slots </w:t>
      </w:r>
      <w:r>
        <w:rPr>
          <w:rFonts w:ascii="Times New Roman" w:hAnsi="Times New Roman" w:cs="Times New Roman"/>
          <w:sz w:val="24"/>
          <w:szCs w:val="24"/>
          <w:lang w:val="en-US"/>
        </w:rPr>
        <w:t>(</w:t>
      </w:r>
      <w:r w:rsidR="00BE7A8E">
        <w:rPr>
          <w:rFonts w:ascii="Times New Roman" w:hAnsi="Times New Roman" w:cs="Times New Roman"/>
          <w:sz w:val="24"/>
          <w:szCs w:val="24"/>
          <w:lang w:val="en-US"/>
        </w:rPr>
        <w:t xml:space="preserve">and have an </w:t>
      </w:r>
      <w:r>
        <w:rPr>
          <w:rFonts w:ascii="Times New Roman" w:hAnsi="Times New Roman" w:cs="Times New Roman"/>
          <w:sz w:val="24"/>
          <w:szCs w:val="24"/>
          <w:lang w:val="en-US"/>
        </w:rPr>
        <w:t xml:space="preserve">average </w:t>
      </w:r>
      <w:r w:rsidRPr="00BE7A8E">
        <w:rPr>
          <w:rFonts w:ascii="Times New Roman" w:hAnsi="Times New Roman" w:cs="Times New Roman"/>
          <w:i/>
          <w:sz w:val="24"/>
          <w:szCs w:val="24"/>
          <w:lang w:val="en-US"/>
        </w:rPr>
        <w:t>S</w:t>
      </w:r>
      <w:r w:rsidR="000B01CC">
        <w:rPr>
          <w:rFonts w:ascii="Times New Roman" w:hAnsi="Times New Roman" w:cs="Times New Roman"/>
          <w:sz w:val="24"/>
          <w:szCs w:val="24"/>
          <w:lang w:val="en-US"/>
        </w:rPr>
        <w:t xml:space="preserve"> value of 68</w:t>
      </w:r>
      <w:r>
        <w:rPr>
          <w:rFonts w:ascii="Times New Roman" w:hAnsi="Times New Roman" w:cs="Times New Roman"/>
          <w:sz w:val="24"/>
          <w:szCs w:val="24"/>
          <w:lang w:val="en-US"/>
        </w:rPr>
        <w:t xml:space="preserve">).  This suggests that the </w:t>
      </w:r>
      <w:r w:rsidRPr="00A01844">
        <w:rPr>
          <w:rFonts w:ascii="Times New Roman" w:hAnsi="Times New Roman" w:cs="Times New Roman"/>
          <w:i/>
          <w:sz w:val="24"/>
          <w:szCs w:val="24"/>
          <w:lang w:val="en-US"/>
        </w:rPr>
        <w:t>S</w:t>
      </w:r>
      <w:r>
        <w:rPr>
          <w:rFonts w:ascii="Times New Roman" w:hAnsi="Times New Roman" w:cs="Times New Roman"/>
          <w:sz w:val="24"/>
          <w:szCs w:val="24"/>
          <w:lang w:val="en-US"/>
        </w:rPr>
        <w:t xml:space="preserve"> choice was </w:t>
      </w:r>
      <w:r w:rsidR="000C4719">
        <w:rPr>
          <w:rFonts w:ascii="Times New Roman" w:hAnsi="Times New Roman" w:cs="Times New Roman"/>
          <w:sz w:val="24"/>
          <w:szCs w:val="24"/>
          <w:lang w:val="en-US"/>
        </w:rPr>
        <w:t xml:space="preserve">in part </w:t>
      </w:r>
      <w:r>
        <w:rPr>
          <w:rFonts w:ascii="Times New Roman" w:hAnsi="Times New Roman" w:cs="Times New Roman"/>
          <w:sz w:val="24"/>
          <w:szCs w:val="24"/>
          <w:lang w:val="en-US"/>
        </w:rPr>
        <w:t xml:space="preserve">driven by mimicry of </w:t>
      </w:r>
      <w:proofErr w:type="spellStart"/>
      <w:r>
        <w:rPr>
          <w:rFonts w:ascii="Times New Roman" w:hAnsi="Times New Roman" w:cs="Times New Roman"/>
          <w:sz w:val="24"/>
          <w:szCs w:val="24"/>
          <w:lang w:val="en-US"/>
        </w:rPr>
        <w:t>neighbouring</w:t>
      </w:r>
      <w:proofErr w:type="spellEnd"/>
      <w:r>
        <w:rPr>
          <w:rFonts w:ascii="Times New Roman" w:hAnsi="Times New Roman" w:cs="Times New Roman"/>
          <w:sz w:val="24"/>
          <w:szCs w:val="24"/>
          <w:lang w:val="en-US"/>
        </w:rPr>
        <w:t xml:space="preserve"> countries.  Consistent with this, </w:t>
      </w:r>
      <w:proofErr w:type="spellStart"/>
      <w:r>
        <w:rPr>
          <w:rFonts w:ascii="Times New Roman" w:hAnsi="Times New Roman" w:cs="Times New Roman"/>
          <w:sz w:val="24"/>
          <w:szCs w:val="24"/>
          <w:lang w:val="en-US"/>
        </w:rPr>
        <w:t>Sebhatu</w:t>
      </w:r>
      <w:proofErr w:type="spellEnd"/>
      <w:r>
        <w:rPr>
          <w:rFonts w:ascii="Times New Roman" w:hAnsi="Times New Roman" w:cs="Times New Roman"/>
          <w:sz w:val="24"/>
          <w:szCs w:val="24"/>
          <w:lang w:val="en-US"/>
        </w:rPr>
        <w:t xml:space="preserve"> et al (2020) finds that the speed with which restrictions were adopted </w:t>
      </w:r>
      <w:r w:rsidR="00BE7A8E">
        <w:rPr>
          <w:rFonts w:ascii="Times New Roman" w:hAnsi="Times New Roman" w:cs="Times New Roman"/>
          <w:sz w:val="24"/>
          <w:szCs w:val="24"/>
          <w:lang w:val="en-US"/>
        </w:rPr>
        <w:t xml:space="preserve">by the OECD members </w:t>
      </w:r>
      <w:r>
        <w:rPr>
          <w:rFonts w:ascii="Times New Roman" w:hAnsi="Times New Roman" w:cs="Times New Roman"/>
          <w:sz w:val="24"/>
          <w:szCs w:val="24"/>
          <w:lang w:val="en-US"/>
        </w:rPr>
        <w:t xml:space="preserve">was </w:t>
      </w:r>
      <w:r w:rsidR="00C50D56">
        <w:rPr>
          <w:rFonts w:ascii="Times New Roman" w:hAnsi="Times New Roman" w:cs="Times New Roman"/>
          <w:sz w:val="24"/>
          <w:szCs w:val="24"/>
          <w:lang w:val="en-US"/>
        </w:rPr>
        <w:t>influenced by the behavior of nearby countries.</w:t>
      </w:r>
    </w:p>
    <w:p w:rsidR="00A01844" w:rsidRDefault="00A01844" w:rsidP="00804186">
      <w:pPr>
        <w:spacing w:after="0" w:line="360" w:lineRule="auto"/>
        <w:jc w:val="both"/>
        <w:rPr>
          <w:rFonts w:ascii="Times New Roman" w:hAnsi="Times New Roman" w:cs="Times New Roman"/>
          <w:sz w:val="24"/>
          <w:szCs w:val="24"/>
          <w:lang w:val="en-US"/>
        </w:rPr>
      </w:pPr>
    </w:p>
    <w:p w:rsidR="00804186" w:rsidRDefault="000616A9" w:rsidP="0080418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further </w:t>
      </w:r>
      <w:r w:rsidR="00EA2F07">
        <w:rPr>
          <w:rFonts w:ascii="Times New Roman" w:hAnsi="Times New Roman" w:cs="Times New Roman"/>
          <w:sz w:val="24"/>
          <w:szCs w:val="24"/>
          <w:lang w:val="en-US"/>
        </w:rPr>
        <w:t>criticism of equation (10</w:t>
      </w:r>
      <w:r w:rsidR="00804186">
        <w:rPr>
          <w:rFonts w:ascii="Times New Roman" w:hAnsi="Times New Roman" w:cs="Times New Roman"/>
          <w:sz w:val="24"/>
          <w:szCs w:val="24"/>
          <w:lang w:val="en-US"/>
        </w:rPr>
        <w:t xml:space="preserve">) is that many other independent variables have not been included, because of data limitations, and inclusion of them could materially alter the coefficient on </w:t>
      </w:r>
      <w:r w:rsidR="00804186" w:rsidRPr="005B0E4E">
        <w:rPr>
          <w:rFonts w:ascii="Times New Roman" w:hAnsi="Times New Roman" w:cs="Times New Roman"/>
          <w:i/>
          <w:sz w:val="24"/>
          <w:szCs w:val="24"/>
          <w:lang w:val="en-US"/>
        </w:rPr>
        <w:t>S</w:t>
      </w:r>
      <w:r w:rsidR="00804186">
        <w:rPr>
          <w:rFonts w:ascii="Times New Roman" w:hAnsi="Times New Roman" w:cs="Times New Roman"/>
          <w:sz w:val="24"/>
          <w:szCs w:val="24"/>
          <w:lang w:val="en-US"/>
        </w:rPr>
        <w:t xml:space="preserve">.  </w:t>
      </w:r>
      <w:proofErr w:type="gramStart"/>
      <w:r w:rsidR="00804186">
        <w:rPr>
          <w:rFonts w:ascii="Times New Roman" w:hAnsi="Times New Roman" w:cs="Times New Roman"/>
          <w:sz w:val="24"/>
          <w:szCs w:val="24"/>
          <w:lang w:val="en-US"/>
        </w:rPr>
        <w:t xml:space="preserve">Consistent with this, the adjusted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sidR="00EA2F07">
        <w:rPr>
          <w:rFonts w:ascii="Times New Roman" w:hAnsi="Times New Roman" w:cs="Times New Roman"/>
          <w:sz w:val="24"/>
          <w:szCs w:val="24"/>
          <w:lang w:val="en-US"/>
        </w:rPr>
        <w:t xml:space="preserve"> for equation (10</w:t>
      </w:r>
      <w:r w:rsidR="00E32C6F">
        <w:rPr>
          <w:rFonts w:ascii="Times New Roman" w:hAnsi="Times New Roman" w:cs="Times New Roman"/>
          <w:sz w:val="24"/>
          <w:szCs w:val="24"/>
          <w:lang w:val="en-US"/>
        </w:rPr>
        <w:t>) is 0.44</w:t>
      </w:r>
      <w:r w:rsidR="00804186">
        <w:rPr>
          <w:rFonts w:ascii="Times New Roman" w:hAnsi="Times New Roman" w:cs="Times New Roman"/>
          <w:sz w:val="24"/>
          <w:szCs w:val="24"/>
          <w:lang w:val="en-US"/>
        </w:rPr>
        <w:t>.</w:t>
      </w:r>
      <w:proofErr w:type="gramEnd"/>
      <w:r w:rsidR="00804186">
        <w:rPr>
          <w:rFonts w:ascii="Times New Roman" w:hAnsi="Times New Roman" w:cs="Times New Roman"/>
          <w:sz w:val="24"/>
          <w:szCs w:val="24"/>
          <w:lang w:val="en-US"/>
        </w:rPr>
        <w:t xml:space="preserve">  Examples of these omitted variables are the extent of multi-generational households, which </w:t>
      </w:r>
      <w:r w:rsidR="002D12E8">
        <w:rPr>
          <w:rFonts w:ascii="Times New Roman" w:hAnsi="Times New Roman" w:cs="Times New Roman"/>
          <w:sz w:val="24"/>
          <w:szCs w:val="24"/>
          <w:lang w:val="en-US"/>
        </w:rPr>
        <w:t xml:space="preserve">would </w:t>
      </w:r>
      <w:r w:rsidR="00804186">
        <w:rPr>
          <w:rFonts w:ascii="Times New Roman" w:hAnsi="Times New Roman" w:cs="Times New Roman"/>
          <w:sz w:val="24"/>
          <w:szCs w:val="24"/>
          <w:lang w:val="en-US"/>
        </w:rPr>
        <w:t xml:space="preserve">facilitate the transmission of the virus to the high risk elderly group, and the extent of </w:t>
      </w:r>
      <w:r w:rsidR="00804186">
        <w:rPr>
          <w:rFonts w:ascii="Times New Roman" w:hAnsi="Times New Roman" w:cs="Times New Roman"/>
          <w:sz w:val="24"/>
          <w:szCs w:val="24"/>
          <w:lang w:val="en-US"/>
        </w:rPr>
        <w:lastRenderedPageBreak/>
        <w:t>quarantining of nursing homes, which would reduce the death rate amongst the high risk group.  However, starting</w:t>
      </w:r>
      <w:r w:rsidR="00EA2F07">
        <w:rPr>
          <w:rFonts w:ascii="Times New Roman" w:hAnsi="Times New Roman" w:cs="Times New Roman"/>
          <w:sz w:val="24"/>
          <w:szCs w:val="24"/>
          <w:lang w:val="en-US"/>
        </w:rPr>
        <w:t xml:space="preserve"> with the version of equation (10</w:t>
      </w:r>
      <w:r w:rsidR="00804186">
        <w:rPr>
          <w:rFonts w:ascii="Times New Roman" w:hAnsi="Times New Roman" w:cs="Times New Roman"/>
          <w:sz w:val="24"/>
          <w:szCs w:val="24"/>
          <w:lang w:val="en-US"/>
        </w:rPr>
        <w:t xml:space="preserve">) with only </w:t>
      </w:r>
      <w:r w:rsidR="00804186" w:rsidRPr="00922F19">
        <w:rPr>
          <w:rFonts w:ascii="Times New Roman" w:hAnsi="Times New Roman" w:cs="Times New Roman"/>
          <w:i/>
          <w:sz w:val="24"/>
          <w:szCs w:val="24"/>
          <w:lang w:val="en-US"/>
        </w:rPr>
        <w:t>S</w:t>
      </w:r>
      <w:r w:rsidR="00804186">
        <w:rPr>
          <w:rFonts w:ascii="Times New Roman" w:hAnsi="Times New Roman" w:cs="Times New Roman"/>
          <w:sz w:val="24"/>
          <w:szCs w:val="24"/>
          <w:lang w:val="en-US"/>
        </w:rPr>
        <w:t xml:space="preserve"> as the </w:t>
      </w:r>
      <w:proofErr w:type="spellStart"/>
      <w:r w:rsidR="00804186">
        <w:rPr>
          <w:rFonts w:ascii="Times New Roman" w:hAnsi="Times New Roman" w:cs="Times New Roman"/>
          <w:sz w:val="24"/>
          <w:szCs w:val="24"/>
          <w:lang w:val="en-US"/>
        </w:rPr>
        <w:t>regressor</w:t>
      </w:r>
      <w:proofErr w:type="spellEnd"/>
      <w:r w:rsidR="00804186">
        <w:rPr>
          <w:rFonts w:ascii="Times New Roman" w:hAnsi="Times New Roman" w:cs="Times New Roman"/>
          <w:sz w:val="24"/>
          <w:szCs w:val="24"/>
          <w:lang w:val="en-US"/>
        </w:rPr>
        <w:t xml:space="preserve"> and all countries included, and then progressively adding new </w:t>
      </w:r>
      <w:proofErr w:type="spellStart"/>
      <w:r w:rsidR="00804186">
        <w:rPr>
          <w:rFonts w:ascii="Times New Roman" w:hAnsi="Times New Roman" w:cs="Times New Roman"/>
          <w:sz w:val="24"/>
          <w:szCs w:val="24"/>
          <w:lang w:val="en-US"/>
        </w:rPr>
        <w:t>regressors</w:t>
      </w:r>
      <w:proofErr w:type="spellEnd"/>
      <w:r w:rsidR="00804186">
        <w:rPr>
          <w:rFonts w:ascii="Times New Roman" w:hAnsi="Times New Roman" w:cs="Times New Roman"/>
          <w:sz w:val="24"/>
          <w:szCs w:val="24"/>
          <w:lang w:val="en-US"/>
        </w:rPr>
        <w:t xml:space="preserve">, the change in the estimate of </w:t>
      </w:r>
      <w:r w:rsidR="00804186" w:rsidRPr="00922F19">
        <w:rPr>
          <w:rFonts w:ascii="Times New Roman" w:hAnsi="Times New Roman" w:cs="Times New Roman"/>
          <w:i/>
          <w:sz w:val="24"/>
          <w:szCs w:val="24"/>
          <w:lang w:val="en-US"/>
        </w:rPr>
        <w:t>S</w:t>
      </w:r>
      <w:r w:rsidR="00804186">
        <w:rPr>
          <w:rFonts w:ascii="Times New Roman" w:hAnsi="Times New Roman" w:cs="Times New Roman"/>
          <w:sz w:val="24"/>
          <w:szCs w:val="24"/>
          <w:lang w:val="en-US"/>
        </w:rPr>
        <w:t xml:space="preserve"> is not very substantial, with</w:t>
      </w:r>
      <w:r w:rsidR="00E32C6F">
        <w:rPr>
          <w:rFonts w:ascii="Times New Roman" w:hAnsi="Times New Roman" w:cs="Times New Roman"/>
          <w:sz w:val="24"/>
          <w:szCs w:val="24"/>
          <w:lang w:val="en-US"/>
        </w:rPr>
        <w:t xml:space="preserve"> values ranging from xxx to xxx</w:t>
      </w:r>
      <w:r w:rsidR="00804186">
        <w:rPr>
          <w:rFonts w:ascii="Times New Roman" w:hAnsi="Times New Roman" w:cs="Times New Roman"/>
          <w:sz w:val="24"/>
          <w:szCs w:val="24"/>
          <w:lang w:val="en-US"/>
        </w:rPr>
        <w:t xml:space="preserve">.  All of this suggests that, if further </w:t>
      </w:r>
      <w:proofErr w:type="spellStart"/>
      <w:r w:rsidR="00804186">
        <w:rPr>
          <w:rFonts w:ascii="Times New Roman" w:hAnsi="Times New Roman" w:cs="Times New Roman"/>
          <w:sz w:val="24"/>
          <w:szCs w:val="24"/>
          <w:lang w:val="en-US"/>
        </w:rPr>
        <w:t>regressors</w:t>
      </w:r>
      <w:proofErr w:type="spellEnd"/>
      <w:r w:rsidR="00804186">
        <w:rPr>
          <w:rFonts w:ascii="Times New Roman" w:hAnsi="Times New Roman" w:cs="Times New Roman"/>
          <w:sz w:val="24"/>
          <w:szCs w:val="24"/>
          <w:lang w:val="en-US"/>
        </w:rPr>
        <w:t xml:space="preserve"> could be added, the coefficient on </w:t>
      </w:r>
      <w:r w:rsidR="00804186" w:rsidRPr="00812754">
        <w:rPr>
          <w:rFonts w:ascii="Times New Roman" w:hAnsi="Times New Roman" w:cs="Times New Roman"/>
          <w:i/>
          <w:sz w:val="24"/>
          <w:szCs w:val="24"/>
          <w:lang w:val="en-US"/>
        </w:rPr>
        <w:t>S</w:t>
      </w:r>
      <w:r w:rsidR="00804186">
        <w:rPr>
          <w:rFonts w:ascii="Times New Roman" w:hAnsi="Times New Roman" w:cs="Times New Roman"/>
          <w:sz w:val="24"/>
          <w:szCs w:val="24"/>
          <w:lang w:val="en-US"/>
        </w:rPr>
        <w:t xml:space="preserve"> would not be materially less than</w:t>
      </w:r>
      <w:r w:rsidR="00E32C6F">
        <w:rPr>
          <w:rFonts w:ascii="Times New Roman" w:hAnsi="Times New Roman" w:cs="Times New Roman"/>
          <w:sz w:val="24"/>
          <w:szCs w:val="24"/>
          <w:lang w:val="en-US"/>
        </w:rPr>
        <w:t xml:space="preserve"> -1.65</w:t>
      </w:r>
      <w:r w:rsidR="00804186">
        <w:rPr>
          <w:rFonts w:ascii="Times New Roman" w:hAnsi="Times New Roman" w:cs="Times New Roman"/>
          <w:sz w:val="24"/>
          <w:szCs w:val="24"/>
          <w:lang w:val="en-US"/>
        </w:rPr>
        <w:t xml:space="preserve">.  </w:t>
      </w:r>
    </w:p>
    <w:p w:rsidR="00804186" w:rsidRDefault="00804186" w:rsidP="00804186">
      <w:pPr>
        <w:spacing w:after="0" w:line="360" w:lineRule="auto"/>
        <w:jc w:val="both"/>
        <w:rPr>
          <w:rFonts w:ascii="Times New Roman" w:hAnsi="Times New Roman" w:cs="Times New Roman"/>
          <w:sz w:val="24"/>
          <w:szCs w:val="24"/>
          <w:lang w:val="en-US"/>
        </w:rPr>
      </w:pPr>
    </w:p>
    <w:p w:rsidR="00804186" w:rsidRDefault="00804186" w:rsidP="00592DEB">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With this value, the expected increase in New Zealand’s death toll from moving from its lockdown policy (</w:t>
      </w:r>
      <w:r w:rsidRPr="00F64F32">
        <w:rPr>
          <w:rFonts w:ascii="Times New Roman" w:hAnsi="Times New Roman" w:cs="Times New Roman"/>
          <w:i/>
          <w:sz w:val="24"/>
          <w:szCs w:val="24"/>
          <w:lang w:val="en-US"/>
        </w:rPr>
        <w:t>S</w:t>
      </w:r>
      <w:r>
        <w:rPr>
          <w:rFonts w:ascii="Times New Roman" w:hAnsi="Times New Roman" w:cs="Times New Roman"/>
          <w:sz w:val="24"/>
          <w:szCs w:val="24"/>
          <w:lang w:val="en-US"/>
        </w:rPr>
        <w:t xml:space="preserve"> = 96) to a mitigation policy alike </w:t>
      </w:r>
      <w:r w:rsidR="00A46A4C">
        <w:rPr>
          <w:rFonts w:ascii="Times New Roman" w:hAnsi="Times New Roman" w:cs="Times New Roman"/>
          <w:sz w:val="24"/>
          <w:szCs w:val="24"/>
          <w:lang w:val="en-US"/>
        </w:rPr>
        <w:t xml:space="preserve">that of the least restrictive European country </w:t>
      </w:r>
      <w:r>
        <w:rPr>
          <w:rFonts w:ascii="Times New Roman" w:hAnsi="Times New Roman" w:cs="Times New Roman"/>
          <w:sz w:val="24"/>
          <w:szCs w:val="24"/>
          <w:lang w:val="en-US"/>
        </w:rPr>
        <w:t>(</w:t>
      </w:r>
      <w:r w:rsidR="00A46A4C">
        <w:rPr>
          <w:rFonts w:ascii="Times New Roman" w:hAnsi="Times New Roman" w:cs="Times New Roman"/>
          <w:sz w:val="24"/>
          <w:szCs w:val="24"/>
          <w:lang w:val="en-US"/>
        </w:rPr>
        <w:t xml:space="preserve">Iceland with </w:t>
      </w:r>
      <w:r w:rsidRPr="00F64F32">
        <w:rPr>
          <w:rFonts w:ascii="Times New Roman" w:hAnsi="Times New Roman" w:cs="Times New Roman"/>
          <w:i/>
          <w:sz w:val="24"/>
          <w:szCs w:val="24"/>
          <w:lang w:val="en-US"/>
        </w:rPr>
        <w:t>S</w:t>
      </w:r>
      <w:r w:rsidR="00A46A4C">
        <w:rPr>
          <w:rFonts w:ascii="Times New Roman" w:hAnsi="Times New Roman" w:cs="Times New Roman"/>
          <w:sz w:val="24"/>
          <w:szCs w:val="24"/>
          <w:lang w:val="en-US"/>
        </w:rPr>
        <w:t xml:space="preserve"> = 54</w:t>
      </w:r>
      <w:r>
        <w:rPr>
          <w:rFonts w:ascii="Times New Roman" w:hAnsi="Times New Roman" w:cs="Times New Roman"/>
          <w:sz w:val="24"/>
          <w:szCs w:val="24"/>
          <w:lang w:val="en-US"/>
        </w:rPr>
        <w:t>) would be to raise the death rate b</w:t>
      </w:r>
      <w:r w:rsidR="00A46A4C">
        <w:rPr>
          <w:rFonts w:ascii="Times New Roman" w:hAnsi="Times New Roman" w:cs="Times New Roman"/>
          <w:sz w:val="24"/>
          <w:szCs w:val="24"/>
          <w:lang w:val="en-US"/>
        </w:rPr>
        <w:t>y -1.65*(54 – 96) = 69</w:t>
      </w:r>
      <w:r>
        <w:rPr>
          <w:rFonts w:ascii="Times New Roman" w:hAnsi="Times New Roman" w:cs="Times New Roman"/>
          <w:sz w:val="24"/>
          <w:szCs w:val="24"/>
          <w:lang w:val="en-US"/>
        </w:rPr>
        <w:t xml:space="preserve"> per 1m of population, which would yield an increas</w:t>
      </w:r>
      <w:r w:rsidR="00A46A4C">
        <w:rPr>
          <w:rFonts w:ascii="Times New Roman" w:hAnsi="Times New Roman" w:cs="Times New Roman"/>
          <w:sz w:val="24"/>
          <w:szCs w:val="24"/>
          <w:lang w:val="en-US"/>
        </w:rPr>
        <w:t>e in New Zealand’s deaths of 69*5 = 345</w:t>
      </w:r>
      <w:r>
        <w:rPr>
          <w:rFonts w:ascii="Times New Roman" w:hAnsi="Times New Roman" w:cs="Times New Roman"/>
          <w:sz w:val="24"/>
          <w:szCs w:val="24"/>
          <w:lang w:val="en-US"/>
        </w:rPr>
        <w:t>.  Mindf</w:t>
      </w:r>
      <w:r w:rsidR="00A46A4C">
        <w:rPr>
          <w:rFonts w:ascii="Times New Roman" w:hAnsi="Times New Roman" w:cs="Times New Roman"/>
          <w:sz w:val="24"/>
          <w:szCs w:val="24"/>
          <w:lang w:val="en-US"/>
        </w:rPr>
        <w:t>ul that the coefficient of -1.65</w:t>
      </w:r>
      <w:r>
        <w:rPr>
          <w:rFonts w:ascii="Times New Roman" w:hAnsi="Times New Roman" w:cs="Times New Roman"/>
          <w:sz w:val="24"/>
          <w:szCs w:val="24"/>
          <w:lang w:val="en-US"/>
        </w:rPr>
        <w:t xml:space="preserve"> is merely an estimate, </w:t>
      </w:r>
      <w:r w:rsidR="00B77028">
        <w:rPr>
          <w:rFonts w:ascii="Times New Roman" w:hAnsi="Times New Roman" w:cs="Times New Roman"/>
          <w:sz w:val="24"/>
          <w:szCs w:val="24"/>
          <w:lang w:val="en-US"/>
        </w:rPr>
        <w:t xml:space="preserve">and that there may have been some upward bias for the reasons described earlier, </w:t>
      </w:r>
      <w:r>
        <w:rPr>
          <w:rFonts w:ascii="Times New Roman" w:hAnsi="Times New Roman" w:cs="Times New Roman"/>
          <w:sz w:val="24"/>
          <w:szCs w:val="24"/>
          <w:lang w:val="en-US"/>
        </w:rPr>
        <w:t xml:space="preserve">the most conservative approach would be to instead adopt the lower 95% confidence limit bound on the </w:t>
      </w:r>
      <w:r w:rsidRPr="00E06F43">
        <w:rPr>
          <w:rFonts w:ascii="Times New Roman" w:hAnsi="Times New Roman" w:cs="Times New Roman"/>
          <w:i/>
          <w:sz w:val="24"/>
          <w:szCs w:val="24"/>
          <w:lang w:val="en-US"/>
        </w:rPr>
        <w:t>S</w:t>
      </w:r>
      <w:r w:rsidR="005D1B32">
        <w:rPr>
          <w:rFonts w:ascii="Times New Roman" w:hAnsi="Times New Roman" w:cs="Times New Roman"/>
          <w:sz w:val="24"/>
          <w:szCs w:val="24"/>
          <w:lang w:val="en-US"/>
        </w:rPr>
        <w:t xml:space="preserve"> coefficient, which is -7.92</w:t>
      </w:r>
      <w:r>
        <w:rPr>
          <w:rFonts w:ascii="Times New Roman" w:hAnsi="Times New Roman" w:cs="Times New Roman"/>
          <w:sz w:val="24"/>
          <w:szCs w:val="24"/>
          <w:lang w:val="en-US"/>
        </w:rPr>
        <w:t xml:space="preserve">.  In this case, reducing New Zealand’s </w:t>
      </w:r>
      <w:r w:rsidRPr="00E06F43">
        <w:rPr>
          <w:rFonts w:ascii="Times New Roman" w:hAnsi="Times New Roman" w:cs="Times New Roman"/>
          <w:i/>
          <w:sz w:val="24"/>
          <w:szCs w:val="24"/>
          <w:lang w:val="en-US"/>
        </w:rPr>
        <w:t>S</w:t>
      </w:r>
      <w:r w:rsidR="005D1B32">
        <w:rPr>
          <w:rFonts w:ascii="Times New Roman" w:hAnsi="Times New Roman" w:cs="Times New Roman"/>
          <w:sz w:val="24"/>
          <w:szCs w:val="24"/>
          <w:lang w:val="en-US"/>
        </w:rPr>
        <w:t xml:space="preserve"> value from 96 to 54</w:t>
      </w:r>
      <w:r>
        <w:rPr>
          <w:rFonts w:ascii="Times New Roman" w:hAnsi="Times New Roman" w:cs="Times New Roman"/>
          <w:sz w:val="24"/>
          <w:szCs w:val="24"/>
          <w:lang w:val="en-US"/>
        </w:rPr>
        <w:t xml:space="preserve"> wou</w:t>
      </w:r>
      <w:r w:rsidR="00354E62">
        <w:rPr>
          <w:rFonts w:ascii="Times New Roman" w:hAnsi="Times New Roman" w:cs="Times New Roman"/>
          <w:sz w:val="24"/>
          <w:szCs w:val="24"/>
          <w:lang w:val="en-US"/>
        </w:rPr>
        <w:t>ld raise the death rate by -7.92*(54</w:t>
      </w:r>
      <w:r w:rsidR="00B12AD4">
        <w:rPr>
          <w:rFonts w:ascii="Times New Roman" w:hAnsi="Times New Roman" w:cs="Times New Roman"/>
          <w:sz w:val="24"/>
          <w:szCs w:val="24"/>
          <w:lang w:val="en-US"/>
        </w:rPr>
        <w:t xml:space="preserve"> – 96) = 333</w:t>
      </w:r>
      <w:r>
        <w:rPr>
          <w:rFonts w:ascii="Times New Roman" w:hAnsi="Times New Roman" w:cs="Times New Roman"/>
          <w:sz w:val="24"/>
          <w:szCs w:val="24"/>
          <w:lang w:val="en-US"/>
        </w:rPr>
        <w:t xml:space="preserve"> per 1m of population, which would yield an increas</w:t>
      </w:r>
      <w:r w:rsidR="00F0169E">
        <w:rPr>
          <w:rFonts w:ascii="Times New Roman" w:hAnsi="Times New Roman" w:cs="Times New Roman"/>
          <w:sz w:val="24"/>
          <w:szCs w:val="24"/>
          <w:lang w:val="en-US"/>
        </w:rPr>
        <w:t>e in New Zealand’s deaths of 333*5 = 1,665</w:t>
      </w:r>
      <w:r>
        <w:rPr>
          <w:rFonts w:ascii="Times New Roman" w:hAnsi="Times New Roman" w:cs="Times New Roman"/>
          <w:sz w:val="24"/>
          <w:szCs w:val="24"/>
          <w:lang w:val="en-US"/>
        </w:rPr>
        <w:t xml:space="preserve">.  </w:t>
      </w:r>
    </w:p>
    <w:p w:rsidR="00826DDE" w:rsidRDefault="00826DDE" w:rsidP="00592DEB">
      <w:pPr>
        <w:spacing w:after="0" w:line="360" w:lineRule="auto"/>
        <w:jc w:val="both"/>
        <w:rPr>
          <w:rFonts w:ascii="Times New Roman" w:hAnsi="Times New Roman" w:cs="Times New Roman"/>
          <w:sz w:val="24"/>
          <w:szCs w:val="24"/>
          <w:lang w:val="en-US"/>
        </w:rPr>
      </w:pPr>
    </w:p>
    <w:p w:rsidR="00C40B97" w:rsidRDefault="00826DDE" w:rsidP="00DC6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analysis uses deaths up to 22 August.  S</w:t>
      </w:r>
      <w:r w:rsidR="000C1EC7">
        <w:rPr>
          <w:rFonts w:ascii="Times New Roman" w:hAnsi="Times New Roman" w:cs="Times New Roman"/>
          <w:sz w:val="24"/>
          <w:szCs w:val="24"/>
          <w:lang w:val="en-US"/>
        </w:rPr>
        <w:t>ince then</w:t>
      </w:r>
      <w:r w:rsidR="00291954">
        <w:rPr>
          <w:rFonts w:ascii="Times New Roman" w:hAnsi="Times New Roman" w:cs="Times New Roman"/>
          <w:sz w:val="24"/>
          <w:szCs w:val="24"/>
          <w:lang w:val="en-US"/>
        </w:rPr>
        <w:t xml:space="preserve"> (to </w:t>
      </w:r>
      <w:r w:rsidR="00AA63ED">
        <w:rPr>
          <w:rFonts w:ascii="Times New Roman" w:hAnsi="Times New Roman" w:cs="Times New Roman"/>
          <w:sz w:val="24"/>
          <w:szCs w:val="24"/>
          <w:lang w:val="en-US"/>
        </w:rPr>
        <w:t>30</w:t>
      </w:r>
      <w:r w:rsidR="00D359F7">
        <w:rPr>
          <w:rFonts w:ascii="Times New Roman" w:hAnsi="Times New Roman" w:cs="Times New Roman"/>
          <w:sz w:val="24"/>
          <w:szCs w:val="24"/>
          <w:lang w:val="en-US"/>
        </w:rPr>
        <w:t xml:space="preserve"> November)</w:t>
      </w:r>
      <w:r w:rsidR="000C1EC7">
        <w:rPr>
          <w:rFonts w:ascii="Times New Roman" w:hAnsi="Times New Roman" w:cs="Times New Roman"/>
          <w:sz w:val="24"/>
          <w:szCs w:val="24"/>
          <w:lang w:val="en-US"/>
        </w:rPr>
        <w:t>, deaths have</w:t>
      </w:r>
      <w:r>
        <w:rPr>
          <w:rFonts w:ascii="Times New Roman" w:hAnsi="Times New Roman" w:cs="Times New Roman"/>
          <w:sz w:val="24"/>
          <w:szCs w:val="24"/>
          <w:lang w:val="en-US"/>
        </w:rPr>
        <w:t xml:space="preserve"> risen significantly</w:t>
      </w:r>
      <w:r w:rsidR="00D359F7">
        <w:rPr>
          <w:rFonts w:ascii="Times New Roman" w:hAnsi="Times New Roman" w:cs="Times New Roman"/>
          <w:sz w:val="24"/>
          <w:szCs w:val="24"/>
          <w:lang w:val="en-US"/>
        </w:rPr>
        <w:t>, from</w:t>
      </w:r>
      <w:r w:rsidR="008B11CE">
        <w:rPr>
          <w:rFonts w:ascii="Times New Roman" w:hAnsi="Times New Roman" w:cs="Times New Roman"/>
          <w:sz w:val="24"/>
          <w:szCs w:val="24"/>
          <w:lang w:val="en-US"/>
        </w:rPr>
        <w:t xml:space="preserve"> an average of 195 per 1m to 450</w:t>
      </w:r>
      <w:r w:rsidR="00D359F7">
        <w:rPr>
          <w:rFonts w:ascii="Times New Roman" w:hAnsi="Times New Roman" w:cs="Times New Roman"/>
          <w:sz w:val="24"/>
          <w:szCs w:val="24"/>
          <w:lang w:val="en-US"/>
        </w:rPr>
        <w:t xml:space="preserve"> per 1m</w:t>
      </w:r>
      <w:r w:rsidR="009574BC">
        <w:rPr>
          <w:rFonts w:ascii="Times New Roman" w:hAnsi="Times New Roman" w:cs="Times New Roman"/>
          <w:sz w:val="24"/>
          <w:szCs w:val="24"/>
          <w:lang w:val="en-US"/>
        </w:rPr>
        <w:t xml:space="preserve">.  </w:t>
      </w:r>
      <w:r w:rsidR="004C36B2">
        <w:rPr>
          <w:rFonts w:ascii="Times New Roman" w:hAnsi="Times New Roman" w:cs="Times New Roman"/>
          <w:sz w:val="24"/>
          <w:szCs w:val="24"/>
          <w:lang w:val="en-US"/>
        </w:rPr>
        <w:t xml:space="preserve">Repeating the analysis with </w:t>
      </w:r>
      <w:r w:rsidR="009574BC">
        <w:rPr>
          <w:rFonts w:ascii="Times New Roman" w:hAnsi="Times New Roman" w:cs="Times New Roman"/>
          <w:sz w:val="24"/>
          <w:szCs w:val="24"/>
          <w:lang w:val="en-US"/>
        </w:rPr>
        <w:t>deaths</w:t>
      </w:r>
      <w:r w:rsidR="008B11CE">
        <w:rPr>
          <w:rFonts w:ascii="Times New Roman" w:hAnsi="Times New Roman" w:cs="Times New Roman"/>
          <w:sz w:val="24"/>
          <w:szCs w:val="24"/>
          <w:lang w:val="en-US"/>
        </w:rPr>
        <w:t xml:space="preserve"> up to 30</w:t>
      </w:r>
      <w:r>
        <w:rPr>
          <w:rFonts w:ascii="Times New Roman" w:hAnsi="Times New Roman" w:cs="Times New Roman"/>
          <w:sz w:val="24"/>
          <w:szCs w:val="24"/>
          <w:lang w:val="en-US"/>
        </w:rPr>
        <w:t xml:space="preserve"> November, the </w:t>
      </w:r>
      <w:r w:rsidR="00C40B97">
        <w:rPr>
          <w:rFonts w:ascii="Times New Roman" w:hAnsi="Times New Roman" w:cs="Times New Roman"/>
          <w:sz w:val="24"/>
          <w:szCs w:val="24"/>
          <w:lang w:val="en-US"/>
        </w:rPr>
        <w:t>result is as follows:</w:t>
      </w:r>
    </w:p>
    <w:p w:rsidR="00C40B97" w:rsidRDefault="00C40B97" w:rsidP="00C40B97">
      <w:pPr>
        <w:pStyle w:val="ListParagraph"/>
        <w:spacing w:after="0" w:line="360" w:lineRule="auto"/>
        <w:ind w:left="0"/>
        <w:jc w:val="both"/>
        <w:rPr>
          <w:rFonts w:ascii="Times New Roman" w:hAnsi="Times New Roman" w:cs="Times New Roman"/>
          <w:sz w:val="24"/>
          <w:szCs w:val="24"/>
          <w:lang w:val="en-US"/>
        </w:rPr>
      </w:pPr>
    </w:p>
    <w:p w:rsidR="00C40B97" w:rsidRDefault="00EA2F07" w:rsidP="00C40B97">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D=376.3+3.43S+462.0PD-12.6FD                                     (11)</m:t>
          </m:r>
        </m:oMath>
      </m:oMathPara>
    </w:p>
    <w:p w:rsidR="00C40B97" w:rsidRDefault="00C40B97" w:rsidP="00DC6CE2">
      <w:pPr>
        <w:spacing w:after="0" w:line="360" w:lineRule="auto"/>
        <w:jc w:val="both"/>
        <w:rPr>
          <w:rFonts w:ascii="Times New Roman" w:hAnsi="Times New Roman" w:cs="Times New Roman"/>
          <w:sz w:val="24"/>
          <w:szCs w:val="24"/>
          <w:lang w:val="en-US"/>
        </w:rPr>
      </w:pPr>
    </w:p>
    <w:p w:rsidR="00DC6CE2" w:rsidRDefault="00C40B97" w:rsidP="00DC6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w:t>
      </w:r>
      <w:r w:rsidR="00EA2F07">
        <w:rPr>
          <w:rFonts w:ascii="Times New Roman" w:hAnsi="Times New Roman" w:cs="Times New Roman"/>
          <w:sz w:val="24"/>
          <w:szCs w:val="24"/>
          <w:lang w:val="en-US"/>
        </w:rPr>
        <w:t>relative to equation (10</w:t>
      </w:r>
      <w:r w:rsidR="007255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826DDE">
        <w:rPr>
          <w:rFonts w:ascii="Times New Roman" w:hAnsi="Times New Roman" w:cs="Times New Roman"/>
          <w:sz w:val="24"/>
          <w:szCs w:val="24"/>
          <w:lang w:val="en-US"/>
        </w:rPr>
        <w:t xml:space="preserve">coefficient on </w:t>
      </w:r>
      <w:r w:rsidR="00826DDE" w:rsidRPr="00C0254F">
        <w:rPr>
          <w:rFonts w:ascii="Times New Roman" w:hAnsi="Times New Roman" w:cs="Times New Roman"/>
          <w:i/>
          <w:sz w:val="24"/>
          <w:szCs w:val="24"/>
          <w:lang w:val="en-US"/>
        </w:rPr>
        <w:t>S</w:t>
      </w:r>
      <w:r w:rsidR="00826DDE">
        <w:rPr>
          <w:rFonts w:ascii="Times New Roman" w:hAnsi="Times New Roman" w:cs="Times New Roman"/>
          <w:sz w:val="24"/>
          <w:szCs w:val="24"/>
          <w:lang w:val="en-US"/>
        </w:rPr>
        <w:t xml:space="preserve"> </w:t>
      </w:r>
      <w:r w:rsidR="00C0254F">
        <w:rPr>
          <w:rFonts w:ascii="Times New Roman" w:hAnsi="Times New Roman" w:cs="Times New Roman"/>
          <w:sz w:val="24"/>
          <w:szCs w:val="24"/>
          <w:lang w:val="en-US"/>
        </w:rPr>
        <w:t xml:space="preserve">rises </w:t>
      </w:r>
      <w:r w:rsidR="001957CB">
        <w:rPr>
          <w:rFonts w:ascii="Times New Roman" w:hAnsi="Times New Roman" w:cs="Times New Roman"/>
          <w:sz w:val="24"/>
          <w:szCs w:val="24"/>
          <w:lang w:val="en-US"/>
        </w:rPr>
        <w:t>from -1.65</w:t>
      </w:r>
      <w:r w:rsidR="00DB66DA">
        <w:rPr>
          <w:rFonts w:ascii="Times New Roman" w:hAnsi="Times New Roman" w:cs="Times New Roman"/>
          <w:sz w:val="24"/>
          <w:szCs w:val="24"/>
          <w:lang w:val="en-US"/>
        </w:rPr>
        <w:t xml:space="preserve"> </w:t>
      </w:r>
      <w:r w:rsidR="008B11CE">
        <w:rPr>
          <w:rFonts w:ascii="Times New Roman" w:hAnsi="Times New Roman" w:cs="Times New Roman"/>
          <w:sz w:val="24"/>
          <w:szCs w:val="24"/>
          <w:lang w:val="en-US"/>
        </w:rPr>
        <w:t>to 3.43</w:t>
      </w:r>
      <w:r w:rsidR="009E3466">
        <w:rPr>
          <w:rFonts w:ascii="Times New Roman" w:hAnsi="Times New Roman" w:cs="Times New Roman"/>
          <w:sz w:val="24"/>
          <w:szCs w:val="24"/>
          <w:lang w:val="en-US"/>
        </w:rPr>
        <w:t xml:space="preserve"> </w:t>
      </w:r>
      <w:r w:rsidR="000C1EC7">
        <w:rPr>
          <w:rFonts w:ascii="Times New Roman" w:hAnsi="Times New Roman" w:cs="Times New Roman"/>
          <w:sz w:val="24"/>
          <w:szCs w:val="24"/>
          <w:lang w:val="en-US"/>
        </w:rPr>
        <w:t xml:space="preserve">and the lower bound on the 95% confidence interval </w:t>
      </w:r>
      <w:r w:rsidR="00DE6D33">
        <w:rPr>
          <w:rFonts w:ascii="Times New Roman" w:hAnsi="Times New Roman" w:cs="Times New Roman"/>
          <w:sz w:val="24"/>
          <w:szCs w:val="24"/>
          <w:lang w:val="en-US"/>
        </w:rPr>
        <w:t xml:space="preserve">rises </w:t>
      </w:r>
      <w:r w:rsidR="001957CB">
        <w:rPr>
          <w:rFonts w:ascii="Times New Roman" w:hAnsi="Times New Roman" w:cs="Times New Roman"/>
          <w:sz w:val="24"/>
          <w:szCs w:val="24"/>
          <w:lang w:val="en-US"/>
        </w:rPr>
        <w:t>from -7.92</w:t>
      </w:r>
      <w:r w:rsidR="00DB66DA">
        <w:rPr>
          <w:rFonts w:ascii="Times New Roman" w:hAnsi="Times New Roman" w:cs="Times New Roman"/>
          <w:sz w:val="24"/>
          <w:szCs w:val="24"/>
          <w:lang w:val="en-US"/>
        </w:rPr>
        <w:t xml:space="preserve"> </w:t>
      </w:r>
      <w:r w:rsidR="000C1EC7">
        <w:rPr>
          <w:rFonts w:ascii="Times New Roman" w:hAnsi="Times New Roman" w:cs="Times New Roman"/>
          <w:sz w:val="24"/>
          <w:szCs w:val="24"/>
          <w:lang w:val="en-US"/>
        </w:rPr>
        <w:t xml:space="preserve">to </w:t>
      </w:r>
      <w:r w:rsidR="008B11CE">
        <w:rPr>
          <w:rFonts w:ascii="Times New Roman" w:hAnsi="Times New Roman" w:cs="Times New Roman"/>
          <w:sz w:val="24"/>
          <w:szCs w:val="24"/>
          <w:lang w:val="en-US"/>
        </w:rPr>
        <w:t>-6.41</w:t>
      </w:r>
      <w:r w:rsidR="00DC6CE2">
        <w:rPr>
          <w:rFonts w:ascii="Times New Roman" w:hAnsi="Times New Roman" w:cs="Times New Roman"/>
          <w:sz w:val="24"/>
          <w:szCs w:val="24"/>
          <w:lang w:val="en-US"/>
        </w:rPr>
        <w:t xml:space="preserve">.  </w:t>
      </w:r>
      <w:r w:rsidR="008B05B0">
        <w:rPr>
          <w:rFonts w:ascii="Times New Roman" w:hAnsi="Times New Roman" w:cs="Times New Roman"/>
          <w:sz w:val="24"/>
          <w:szCs w:val="24"/>
          <w:lang w:val="en-US"/>
        </w:rPr>
        <w:t xml:space="preserve">Using the lower bound on the 95% CI, </w:t>
      </w:r>
      <w:r w:rsidR="00DC6CE2">
        <w:rPr>
          <w:rFonts w:ascii="Times New Roman" w:hAnsi="Times New Roman" w:cs="Times New Roman"/>
          <w:sz w:val="24"/>
          <w:szCs w:val="24"/>
          <w:lang w:val="en-US"/>
        </w:rPr>
        <w:t>the expected increase in New Zealand’s death toll from moving from its lockdown policy (</w:t>
      </w:r>
      <w:r w:rsidR="00DC6CE2" w:rsidRPr="00F64F32">
        <w:rPr>
          <w:rFonts w:ascii="Times New Roman" w:hAnsi="Times New Roman" w:cs="Times New Roman"/>
          <w:i/>
          <w:sz w:val="24"/>
          <w:szCs w:val="24"/>
          <w:lang w:val="en-US"/>
        </w:rPr>
        <w:t>S</w:t>
      </w:r>
      <w:r w:rsidR="00DC6CE2">
        <w:rPr>
          <w:rFonts w:ascii="Times New Roman" w:hAnsi="Times New Roman" w:cs="Times New Roman"/>
          <w:sz w:val="24"/>
          <w:szCs w:val="24"/>
          <w:lang w:val="en-US"/>
        </w:rPr>
        <w:t xml:space="preserve"> = 96) to a mitigation policy alike </w:t>
      </w:r>
      <w:r w:rsidR="008B05B0">
        <w:rPr>
          <w:rFonts w:ascii="Times New Roman" w:hAnsi="Times New Roman" w:cs="Times New Roman"/>
          <w:sz w:val="24"/>
          <w:szCs w:val="24"/>
          <w:lang w:val="en-US"/>
        </w:rPr>
        <w:t xml:space="preserve">Iceland’s </w:t>
      </w:r>
      <w:r w:rsidR="00DC6CE2">
        <w:rPr>
          <w:rFonts w:ascii="Times New Roman" w:hAnsi="Times New Roman" w:cs="Times New Roman"/>
          <w:sz w:val="24"/>
          <w:szCs w:val="24"/>
          <w:lang w:val="en-US"/>
        </w:rPr>
        <w:t>(</w:t>
      </w:r>
      <w:r w:rsidR="00DC6CE2" w:rsidRPr="00F64F32">
        <w:rPr>
          <w:rFonts w:ascii="Times New Roman" w:hAnsi="Times New Roman" w:cs="Times New Roman"/>
          <w:i/>
          <w:sz w:val="24"/>
          <w:szCs w:val="24"/>
          <w:lang w:val="en-US"/>
        </w:rPr>
        <w:t>S</w:t>
      </w:r>
      <w:r w:rsidR="008B05B0">
        <w:rPr>
          <w:rFonts w:ascii="Times New Roman" w:hAnsi="Times New Roman" w:cs="Times New Roman"/>
          <w:sz w:val="24"/>
          <w:szCs w:val="24"/>
          <w:lang w:val="en-US"/>
        </w:rPr>
        <w:t xml:space="preserve"> = 54</w:t>
      </w:r>
      <w:r w:rsidR="00DC6CE2">
        <w:rPr>
          <w:rFonts w:ascii="Times New Roman" w:hAnsi="Times New Roman" w:cs="Times New Roman"/>
          <w:sz w:val="24"/>
          <w:szCs w:val="24"/>
          <w:lang w:val="en-US"/>
        </w:rPr>
        <w:t xml:space="preserve">) would be </w:t>
      </w:r>
      <w:r w:rsidR="002C260D">
        <w:rPr>
          <w:rFonts w:ascii="Times New Roman" w:hAnsi="Times New Roman" w:cs="Times New Roman"/>
          <w:sz w:val="24"/>
          <w:szCs w:val="24"/>
          <w:lang w:val="en-US"/>
        </w:rPr>
        <w:t xml:space="preserve">to raise </w:t>
      </w:r>
      <w:r w:rsidR="009E3466">
        <w:rPr>
          <w:rFonts w:ascii="Times New Roman" w:hAnsi="Times New Roman" w:cs="Times New Roman"/>
          <w:sz w:val="24"/>
          <w:szCs w:val="24"/>
          <w:lang w:val="en-US"/>
        </w:rPr>
        <w:t xml:space="preserve">its </w:t>
      </w:r>
      <w:r w:rsidR="008B11CE">
        <w:rPr>
          <w:rFonts w:ascii="Times New Roman" w:hAnsi="Times New Roman" w:cs="Times New Roman"/>
          <w:sz w:val="24"/>
          <w:szCs w:val="24"/>
          <w:lang w:val="en-US"/>
        </w:rPr>
        <w:t>death rate by -6.41*(54 – 96) = 269</w:t>
      </w:r>
      <w:r w:rsidR="00DC6CE2">
        <w:rPr>
          <w:rFonts w:ascii="Times New Roman" w:hAnsi="Times New Roman" w:cs="Times New Roman"/>
          <w:sz w:val="24"/>
          <w:szCs w:val="24"/>
          <w:lang w:val="en-US"/>
        </w:rPr>
        <w:t xml:space="preserve"> per 1m of population, which would yield an increa</w:t>
      </w:r>
      <w:r w:rsidR="00563762">
        <w:rPr>
          <w:rFonts w:ascii="Times New Roman" w:hAnsi="Times New Roman" w:cs="Times New Roman"/>
          <w:sz w:val="24"/>
          <w:szCs w:val="24"/>
          <w:lang w:val="en-US"/>
        </w:rPr>
        <w:t>s</w:t>
      </w:r>
      <w:r w:rsidR="008B11CE">
        <w:rPr>
          <w:rFonts w:ascii="Times New Roman" w:hAnsi="Times New Roman" w:cs="Times New Roman"/>
          <w:sz w:val="24"/>
          <w:szCs w:val="24"/>
          <w:lang w:val="en-US"/>
        </w:rPr>
        <w:t>e in New Zealand’s deaths of 269*5 = 1,345</w:t>
      </w:r>
      <w:r w:rsidR="00DC6CE2">
        <w:rPr>
          <w:rFonts w:ascii="Times New Roman" w:hAnsi="Times New Roman" w:cs="Times New Roman"/>
          <w:sz w:val="24"/>
          <w:szCs w:val="24"/>
          <w:lang w:val="en-US"/>
        </w:rPr>
        <w:t xml:space="preserve">.  </w:t>
      </w:r>
      <w:r w:rsidR="008B11CE">
        <w:rPr>
          <w:rFonts w:ascii="Times New Roman" w:hAnsi="Times New Roman" w:cs="Times New Roman"/>
          <w:sz w:val="24"/>
          <w:szCs w:val="24"/>
          <w:lang w:val="en-US"/>
        </w:rPr>
        <w:t>This figure of 1,345</w:t>
      </w:r>
      <w:r w:rsidR="00E16A79">
        <w:rPr>
          <w:rFonts w:ascii="Times New Roman" w:hAnsi="Times New Roman" w:cs="Times New Roman"/>
          <w:sz w:val="24"/>
          <w:szCs w:val="24"/>
          <w:lang w:val="en-US"/>
        </w:rPr>
        <w:t xml:space="preserve"> is </w:t>
      </w:r>
      <w:r w:rsidR="00A91BB3" w:rsidRPr="00A91BB3">
        <w:rPr>
          <w:rFonts w:ascii="Times New Roman" w:hAnsi="Times New Roman" w:cs="Times New Roman"/>
          <w:i/>
          <w:sz w:val="24"/>
          <w:szCs w:val="24"/>
          <w:lang w:val="en-US"/>
        </w:rPr>
        <w:t>smaller</w:t>
      </w:r>
      <w:r w:rsidR="00A91BB3">
        <w:rPr>
          <w:rFonts w:ascii="Times New Roman" w:hAnsi="Times New Roman" w:cs="Times New Roman"/>
          <w:sz w:val="24"/>
          <w:szCs w:val="24"/>
          <w:lang w:val="en-US"/>
        </w:rPr>
        <w:t xml:space="preserve"> than from data up to 22 August</w:t>
      </w:r>
      <w:r w:rsidR="00DB66DA">
        <w:rPr>
          <w:rFonts w:ascii="Times New Roman" w:hAnsi="Times New Roman" w:cs="Times New Roman"/>
          <w:sz w:val="24"/>
          <w:szCs w:val="24"/>
          <w:lang w:val="en-US"/>
        </w:rPr>
        <w:t xml:space="preserve"> (</w:t>
      </w:r>
      <w:r w:rsidR="00E16A79">
        <w:rPr>
          <w:rFonts w:ascii="Times New Roman" w:hAnsi="Times New Roman" w:cs="Times New Roman"/>
          <w:sz w:val="24"/>
          <w:szCs w:val="24"/>
          <w:lang w:val="en-US"/>
        </w:rPr>
        <w:t>1,665</w:t>
      </w:r>
      <w:r w:rsidR="00DB66DA">
        <w:rPr>
          <w:rFonts w:ascii="Times New Roman" w:hAnsi="Times New Roman" w:cs="Times New Roman"/>
          <w:sz w:val="24"/>
          <w:szCs w:val="24"/>
          <w:lang w:val="en-US"/>
        </w:rPr>
        <w:t>)</w:t>
      </w:r>
      <w:r w:rsidR="00A91BB3">
        <w:rPr>
          <w:rFonts w:ascii="Times New Roman" w:hAnsi="Times New Roman" w:cs="Times New Roman"/>
          <w:sz w:val="24"/>
          <w:szCs w:val="24"/>
          <w:lang w:val="en-US"/>
        </w:rPr>
        <w:t xml:space="preserve">.  </w:t>
      </w:r>
      <w:r w:rsidR="00DC6CE2">
        <w:rPr>
          <w:rFonts w:ascii="Times New Roman" w:hAnsi="Times New Roman" w:cs="Times New Roman"/>
          <w:sz w:val="24"/>
          <w:szCs w:val="24"/>
          <w:lang w:val="en-US"/>
        </w:rPr>
        <w:t>Given the trend sin</w:t>
      </w:r>
      <w:r w:rsidR="00D778CA">
        <w:rPr>
          <w:rFonts w:ascii="Times New Roman" w:hAnsi="Times New Roman" w:cs="Times New Roman"/>
          <w:sz w:val="24"/>
          <w:szCs w:val="24"/>
          <w:lang w:val="en-US"/>
        </w:rPr>
        <w:t xml:space="preserve">ce 22 August, </w:t>
      </w:r>
      <w:r w:rsidR="00E16A79">
        <w:rPr>
          <w:rFonts w:ascii="Times New Roman" w:hAnsi="Times New Roman" w:cs="Times New Roman"/>
          <w:sz w:val="24"/>
          <w:szCs w:val="24"/>
          <w:lang w:val="en-US"/>
        </w:rPr>
        <w:t>this</w:t>
      </w:r>
      <w:r w:rsidR="008B11CE">
        <w:rPr>
          <w:rFonts w:ascii="Times New Roman" w:hAnsi="Times New Roman" w:cs="Times New Roman"/>
          <w:sz w:val="24"/>
          <w:szCs w:val="24"/>
          <w:lang w:val="en-US"/>
        </w:rPr>
        <w:t xml:space="preserve"> figure of 1,345</w:t>
      </w:r>
      <w:r w:rsidR="00E16A79">
        <w:rPr>
          <w:rFonts w:ascii="Times New Roman" w:hAnsi="Times New Roman" w:cs="Times New Roman"/>
          <w:sz w:val="24"/>
          <w:szCs w:val="24"/>
          <w:lang w:val="en-US"/>
        </w:rPr>
        <w:t xml:space="preserve"> is </w:t>
      </w:r>
      <w:r w:rsidR="00DC6CE2">
        <w:rPr>
          <w:rFonts w:ascii="Times New Roman" w:hAnsi="Times New Roman" w:cs="Times New Roman"/>
          <w:sz w:val="24"/>
          <w:szCs w:val="24"/>
          <w:lang w:val="en-US"/>
        </w:rPr>
        <w:t>likely to become even smaller as the pandemic unfolds.</w:t>
      </w:r>
    </w:p>
    <w:p w:rsidR="00150FDF" w:rsidRDefault="00150FDF" w:rsidP="00DC6CE2">
      <w:pPr>
        <w:spacing w:after="0" w:line="360" w:lineRule="auto"/>
        <w:jc w:val="both"/>
        <w:rPr>
          <w:rFonts w:ascii="Times New Roman" w:hAnsi="Times New Roman" w:cs="Times New Roman"/>
          <w:sz w:val="24"/>
          <w:szCs w:val="24"/>
          <w:lang w:val="en-US"/>
        </w:rPr>
      </w:pPr>
    </w:p>
    <w:p w:rsidR="00F540BA" w:rsidRDefault="00150FDF" w:rsidP="00DC6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This analysis also uses data from European countries, because the quality of the data is judged to be sufficient, and conservatively excludes East Asian democracies with very low death rates regardless of government policy because cultural norms may differ significantly from New Zealand.  </w:t>
      </w:r>
      <w:r w:rsidR="00B97966">
        <w:rPr>
          <w:rFonts w:ascii="Times New Roman" w:hAnsi="Times New Roman" w:cs="Times New Roman"/>
          <w:sz w:val="24"/>
          <w:szCs w:val="24"/>
          <w:lang w:val="en-US"/>
        </w:rPr>
        <w:t xml:space="preserve">As a robustness test, I examine the next best source of data, which appears to be that </w:t>
      </w:r>
      <w:r>
        <w:rPr>
          <w:rFonts w:ascii="Times New Roman" w:hAnsi="Times New Roman" w:cs="Times New Roman"/>
          <w:sz w:val="24"/>
          <w:szCs w:val="24"/>
          <w:lang w:val="en-US"/>
        </w:rPr>
        <w:t xml:space="preserve">from the Americas, but with </w:t>
      </w:r>
      <w:r w:rsidR="00B9796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exclusion of the US and Canada (because they are federal systems with variation in policy by state) and </w:t>
      </w:r>
      <w:r w:rsidR="005B5F44">
        <w:rPr>
          <w:rFonts w:ascii="Times New Roman" w:hAnsi="Times New Roman" w:cs="Times New Roman"/>
          <w:sz w:val="24"/>
          <w:szCs w:val="24"/>
          <w:lang w:val="en-US"/>
        </w:rPr>
        <w:t xml:space="preserve">also </w:t>
      </w:r>
      <w:r>
        <w:rPr>
          <w:rFonts w:ascii="Times New Roman" w:hAnsi="Times New Roman" w:cs="Times New Roman"/>
          <w:sz w:val="24"/>
          <w:szCs w:val="24"/>
          <w:lang w:val="en-US"/>
        </w:rPr>
        <w:t>Cuba, Nicaragua and Venezuela (because authoritarian regimes are likely to de</w:t>
      </w:r>
      <w:r w:rsidR="00D82FE9">
        <w:rPr>
          <w:rFonts w:ascii="Times New Roman" w:hAnsi="Times New Roman" w:cs="Times New Roman"/>
          <w:sz w:val="24"/>
          <w:szCs w:val="24"/>
          <w:lang w:val="en-US"/>
        </w:rPr>
        <w:t xml:space="preserve">liberately understate deaths).  </w:t>
      </w:r>
      <w:r>
        <w:rPr>
          <w:rFonts w:ascii="Times New Roman" w:hAnsi="Times New Roman" w:cs="Times New Roman"/>
          <w:sz w:val="24"/>
          <w:szCs w:val="24"/>
          <w:lang w:val="en-US"/>
        </w:rPr>
        <w:t xml:space="preserve">I also exclude countries with less than 50,000 people because death rates </w:t>
      </w:r>
      <w:r w:rsidR="002C4146">
        <w:rPr>
          <w:rFonts w:ascii="Times New Roman" w:hAnsi="Times New Roman" w:cs="Times New Roman"/>
          <w:sz w:val="24"/>
          <w:szCs w:val="24"/>
          <w:lang w:val="en-US"/>
        </w:rPr>
        <w:t xml:space="preserve">expressed </w:t>
      </w:r>
      <w:r>
        <w:rPr>
          <w:rFonts w:ascii="Times New Roman" w:hAnsi="Times New Roman" w:cs="Times New Roman"/>
          <w:sz w:val="24"/>
          <w:szCs w:val="24"/>
          <w:lang w:val="en-US"/>
        </w:rPr>
        <w:t xml:space="preserve">per 1m </w:t>
      </w:r>
      <w:r w:rsidR="002C4146">
        <w:rPr>
          <w:rFonts w:ascii="Times New Roman" w:hAnsi="Times New Roman" w:cs="Times New Roman"/>
          <w:sz w:val="24"/>
          <w:szCs w:val="24"/>
          <w:lang w:val="en-US"/>
        </w:rPr>
        <w:t xml:space="preserve">of population (as the data source does) </w:t>
      </w:r>
      <w:r>
        <w:rPr>
          <w:rFonts w:ascii="Times New Roman" w:hAnsi="Times New Roman" w:cs="Times New Roman"/>
          <w:sz w:val="24"/>
          <w:szCs w:val="24"/>
          <w:lang w:val="en-US"/>
        </w:rPr>
        <w:t xml:space="preserve">are only </w:t>
      </w:r>
      <w:r w:rsidR="002C4146">
        <w:rPr>
          <w:rFonts w:ascii="Times New Roman" w:hAnsi="Times New Roman" w:cs="Times New Roman"/>
          <w:sz w:val="24"/>
          <w:szCs w:val="24"/>
          <w:lang w:val="en-US"/>
        </w:rPr>
        <w:t xml:space="preserve">then </w:t>
      </w:r>
      <w:r w:rsidR="00B97966">
        <w:rPr>
          <w:rFonts w:ascii="Times New Roman" w:hAnsi="Times New Roman" w:cs="Times New Roman"/>
          <w:sz w:val="24"/>
          <w:szCs w:val="24"/>
          <w:lang w:val="en-US"/>
        </w:rPr>
        <w:t>expressi</w:t>
      </w:r>
      <w:r w:rsidR="002C4146">
        <w:rPr>
          <w:rFonts w:ascii="Times New Roman" w:hAnsi="Times New Roman" w:cs="Times New Roman"/>
          <w:sz w:val="24"/>
          <w:szCs w:val="24"/>
          <w:lang w:val="en-US"/>
        </w:rPr>
        <w:t xml:space="preserve">ble in multiples of </w:t>
      </w:r>
      <w:r>
        <w:rPr>
          <w:rFonts w:ascii="Times New Roman" w:hAnsi="Times New Roman" w:cs="Times New Roman"/>
          <w:sz w:val="24"/>
          <w:szCs w:val="24"/>
          <w:lang w:val="en-US"/>
        </w:rPr>
        <w:t>20</w:t>
      </w:r>
      <w:r w:rsidR="002C4146">
        <w:rPr>
          <w:rFonts w:ascii="Times New Roman" w:hAnsi="Times New Roman" w:cs="Times New Roman"/>
          <w:sz w:val="24"/>
          <w:szCs w:val="24"/>
          <w:lang w:val="en-US"/>
        </w:rPr>
        <w:t xml:space="preserve"> or more.  Across the </w:t>
      </w:r>
      <w:r w:rsidR="00D82FE9">
        <w:rPr>
          <w:rFonts w:ascii="Times New Roman" w:hAnsi="Times New Roman" w:cs="Times New Roman"/>
          <w:sz w:val="24"/>
          <w:szCs w:val="24"/>
          <w:lang w:val="en-US"/>
        </w:rPr>
        <w:t xml:space="preserve">countries </w:t>
      </w:r>
      <w:r w:rsidR="002C4146">
        <w:rPr>
          <w:rFonts w:ascii="Times New Roman" w:hAnsi="Times New Roman" w:cs="Times New Roman"/>
          <w:sz w:val="24"/>
          <w:szCs w:val="24"/>
          <w:lang w:val="en-US"/>
        </w:rPr>
        <w:t xml:space="preserve">for which both Hale et al (2020) provides the Stringency data and the www.worldometers.info website provides death rate data, </w:t>
      </w:r>
      <w:r w:rsidR="00B97966">
        <w:rPr>
          <w:rFonts w:ascii="Times New Roman" w:hAnsi="Times New Roman" w:cs="Times New Roman"/>
          <w:sz w:val="24"/>
          <w:szCs w:val="24"/>
          <w:lang w:val="en-US"/>
        </w:rPr>
        <w:t xml:space="preserve">there are </w:t>
      </w:r>
      <w:r w:rsidR="007F62DD">
        <w:rPr>
          <w:rFonts w:ascii="Times New Roman" w:hAnsi="Times New Roman" w:cs="Times New Roman"/>
          <w:sz w:val="24"/>
          <w:szCs w:val="24"/>
          <w:lang w:val="en-US"/>
        </w:rPr>
        <w:t>28</w:t>
      </w:r>
      <w:r w:rsidR="002C4146">
        <w:rPr>
          <w:rFonts w:ascii="Times New Roman" w:hAnsi="Times New Roman" w:cs="Times New Roman"/>
          <w:sz w:val="24"/>
          <w:szCs w:val="24"/>
          <w:lang w:val="en-US"/>
        </w:rPr>
        <w:t xml:space="preserve"> countries:</w:t>
      </w:r>
      <w:r w:rsidR="005549E2">
        <w:rPr>
          <w:rFonts w:ascii="Times New Roman" w:hAnsi="Times New Roman" w:cs="Times New Roman"/>
          <w:sz w:val="24"/>
          <w:szCs w:val="24"/>
          <w:lang w:val="en-US"/>
        </w:rPr>
        <w:t xml:space="preserve"> Brazil, Argentina, Colombia, Mexico, Peru, Chile, </w:t>
      </w:r>
      <w:r w:rsidR="00510654">
        <w:rPr>
          <w:rFonts w:ascii="Times New Roman" w:hAnsi="Times New Roman" w:cs="Times New Roman"/>
          <w:sz w:val="24"/>
          <w:szCs w:val="24"/>
          <w:lang w:val="en-US"/>
        </w:rPr>
        <w:t xml:space="preserve">Ecuador, Bolivia, Panama, Dominican Republic, Costa Rica, Guatemala, Honduras, Paraguay, </w:t>
      </w:r>
      <w:r w:rsidR="00DA36CE">
        <w:rPr>
          <w:rFonts w:ascii="Times New Roman" w:hAnsi="Times New Roman" w:cs="Times New Roman"/>
          <w:sz w:val="24"/>
          <w:szCs w:val="24"/>
          <w:lang w:val="en-US"/>
        </w:rPr>
        <w:t xml:space="preserve">El Salvador, French Guyana, Jamaica, Haiti, Trinidad and Tobago, </w:t>
      </w:r>
      <w:r w:rsidR="003E0C04">
        <w:rPr>
          <w:rFonts w:ascii="Times New Roman" w:hAnsi="Times New Roman" w:cs="Times New Roman"/>
          <w:sz w:val="24"/>
          <w:szCs w:val="24"/>
          <w:lang w:val="en-US"/>
        </w:rPr>
        <w:t>Suriname</w:t>
      </w:r>
      <w:r w:rsidR="00F540BA">
        <w:rPr>
          <w:rFonts w:ascii="Times New Roman" w:hAnsi="Times New Roman" w:cs="Times New Roman"/>
          <w:sz w:val="24"/>
          <w:szCs w:val="24"/>
          <w:lang w:val="en-US"/>
        </w:rPr>
        <w:t xml:space="preserve">, Aruba, Guyana, Belize, Uruguay, Cayman Islands, Barbados, Bermuda, and Dominica.  </w:t>
      </w:r>
      <w:r w:rsidR="00D73ED8">
        <w:rPr>
          <w:rFonts w:ascii="Times New Roman" w:hAnsi="Times New Roman" w:cs="Times New Roman"/>
          <w:sz w:val="24"/>
          <w:szCs w:val="24"/>
          <w:lang w:val="en-US"/>
        </w:rPr>
        <w:t xml:space="preserve">Unlike the European data, population density and date of first death are not statistically significant, but the following two </w:t>
      </w:r>
      <w:proofErr w:type="spellStart"/>
      <w:r w:rsidR="00D73ED8">
        <w:rPr>
          <w:rFonts w:ascii="Times New Roman" w:hAnsi="Times New Roman" w:cs="Times New Roman"/>
          <w:sz w:val="24"/>
          <w:szCs w:val="24"/>
          <w:lang w:val="en-US"/>
        </w:rPr>
        <w:t>regressors</w:t>
      </w:r>
      <w:proofErr w:type="spellEnd"/>
      <w:r w:rsidR="00D73ED8">
        <w:rPr>
          <w:rFonts w:ascii="Times New Roman" w:hAnsi="Times New Roman" w:cs="Times New Roman"/>
          <w:sz w:val="24"/>
          <w:szCs w:val="24"/>
          <w:lang w:val="en-US"/>
        </w:rPr>
        <w:t xml:space="preserve"> are </w:t>
      </w:r>
      <w:r w:rsidR="00F540BA">
        <w:rPr>
          <w:rFonts w:ascii="Times New Roman" w:hAnsi="Times New Roman" w:cs="Times New Roman"/>
          <w:sz w:val="24"/>
          <w:szCs w:val="24"/>
          <w:lang w:val="en-US"/>
        </w:rPr>
        <w:t>statistically significant</w:t>
      </w:r>
      <w:r w:rsidR="00D73ED8">
        <w:rPr>
          <w:rFonts w:ascii="Times New Roman" w:hAnsi="Times New Roman" w:cs="Times New Roman"/>
          <w:sz w:val="24"/>
          <w:szCs w:val="24"/>
          <w:lang w:val="en-US"/>
        </w:rPr>
        <w:t>:</w:t>
      </w:r>
      <w:r w:rsidR="00F540BA">
        <w:rPr>
          <w:rFonts w:ascii="Times New Roman" w:hAnsi="Times New Roman" w:cs="Times New Roman"/>
          <w:sz w:val="24"/>
          <w:szCs w:val="24"/>
          <w:lang w:val="en-US"/>
        </w:rPr>
        <w:t xml:space="preserve"> </w:t>
      </w:r>
    </w:p>
    <w:p w:rsidR="00150FDF" w:rsidRDefault="00F540BA" w:rsidP="00F540BA">
      <w:pPr>
        <w:pStyle w:val="ListParagraph"/>
        <w:numPr>
          <w:ilvl w:val="0"/>
          <w:numId w:val="6"/>
        </w:numPr>
        <w:spacing w:after="0" w:line="360" w:lineRule="auto"/>
        <w:jc w:val="both"/>
        <w:rPr>
          <w:rFonts w:ascii="Times New Roman" w:hAnsi="Times New Roman" w:cs="Times New Roman"/>
          <w:sz w:val="24"/>
          <w:szCs w:val="24"/>
          <w:lang w:val="en-US"/>
        </w:rPr>
      </w:pPr>
      <w:r w:rsidRPr="00F540BA">
        <w:rPr>
          <w:rFonts w:ascii="Times New Roman" w:hAnsi="Times New Roman" w:cs="Times New Roman"/>
          <w:sz w:val="24"/>
          <w:szCs w:val="24"/>
          <w:lang w:val="en-US"/>
        </w:rPr>
        <w:t>population (higher values provide a higher pool of virus targets before national borders constrict the movement of people and therefore the transmission of the virus),</w:t>
      </w:r>
    </w:p>
    <w:p w:rsidR="00F540BA" w:rsidRDefault="00F540BA" w:rsidP="00F540BA">
      <w:pPr>
        <w:pStyle w:val="ListParagraph"/>
        <w:numPr>
          <w:ilvl w:val="0"/>
          <w:numId w:val="6"/>
        </w:num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having</w:t>
      </w:r>
      <w:proofErr w:type="gramEnd"/>
      <w:r>
        <w:rPr>
          <w:rFonts w:ascii="Times New Roman" w:hAnsi="Times New Roman" w:cs="Times New Roman"/>
          <w:sz w:val="24"/>
          <w:szCs w:val="24"/>
          <w:lang w:val="en-US"/>
        </w:rPr>
        <w:t xml:space="preserve"> no land borders with other countries (water barriers </w:t>
      </w:r>
      <w:r w:rsidR="00EB7AC4">
        <w:rPr>
          <w:rFonts w:ascii="Times New Roman" w:hAnsi="Times New Roman" w:cs="Times New Roman"/>
          <w:sz w:val="24"/>
          <w:szCs w:val="24"/>
          <w:lang w:val="en-US"/>
        </w:rPr>
        <w:t xml:space="preserve">rather than land borders better </w:t>
      </w:r>
      <w:r>
        <w:rPr>
          <w:rFonts w:ascii="Times New Roman" w:hAnsi="Times New Roman" w:cs="Times New Roman"/>
          <w:sz w:val="24"/>
          <w:szCs w:val="24"/>
          <w:lang w:val="en-US"/>
        </w:rPr>
        <w:t xml:space="preserve">restrict the flow of people </w:t>
      </w:r>
      <w:r w:rsidR="00EB7AC4">
        <w:rPr>
          <w:rFonts w:ascii="Times New Roman" w:hAnsi="Times New Roman" w:cs="Times New Roman"/>
          <w:sz w:val="24"/>
          <w:szCs w:val="24"/>
          <w:lang w:val="en-US"/>
        </w:rPr>
        <w:t xml:space="preserve">and hence the virus </w:t>
      </w:r>
      <w:r>
        <w:rPr>
          <w:rFonts w:ascii="Times New Roman" w:hAnsi="Times New Roman" w:cs="Times New Roman"/>
          <w:sz w:val="24"/>
          <w:szCs w:val="24"/>
          <w:lang w:val="en-US"/>
        </w:rPr>
        <w:t>into a country).</w:t>
      </w:r>
    </w:p>
    <w:p w:rsidR="00F540BA" w:rsidRDefault="00F540BA" w:rsidP="00F540B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coefficients on these </w:t>
      </w:r>
      <w:r w:rsidR="00E16595">
        <w:rPr>
          <w:rFonts w:ascii="Times New Roman" w:hAnsi="Times New Roman" w:cs="Times New Roman"/>
          <w:sz w:val="24"/>
          <w:szCs w:val="24"/>
          <w:lang w:val="en-US"/>
        </w:rPr>
        <w:t xml:space="preserve">latter two </w:t>
      </w:r>
      <w:r>
        <w:rPr>
          <w:rFonts w:ascii="Times New Roman" w:hAnsi="Times New Roman" w:cs="Times New Roman"/>
          <w:sz w:val="24"/>
          <w:szCs w:val="24"/>
          <w:lang w:val="en-US"/>
        </w:rPr>
        <w:t>variables each have the expected sign</w:t>
      </w:r>
      <w:r w:rsidR="00E16595">
        <w:rPr>
          <w:rFonts w:ascii="Times New Roman" w:hAnsi="Times New Roman" w:cs="Times New Roman"/>
          <w:sz w:val="24"/>
          <w:szCs w:val="24"/>
          <w:lang w:val="en-US"/>
        </w:rPr>
        <w:t xml:space="preserve"> (positive and negative respectively)</w:t>
      </w:r>
      <w:r w:rsidR="000D4CD4">
        <w:rPr>
          <w:rFonts w:ascii="Times New Roman" w:hAnsi="Times New Roman" w:cs="Times New Roman"/>
          <w:sz w:val="24"/>
          <w:szCs w:val="24"/>
          <w:lang w:val="en-US"/>
        </w:rPr>
        <w:t xml:space="preserve">.  If </w:t>
      </w:r>
      <w:r>
        <w:rPr>
          <w:rFonts w:ascii="Times New Roman" w:hAnsi="Times New Roman" w:cs="Times New Roman"/>
          <w:sz w:val="24"/>
          <w:szCs w:val="24"/>
          <w:lang w:val="en-US"/>
        </w:rPr>
        <w:t xml:space="preserve">the maximum Stringency index is </w:t>
      </w:r>
      <w:r w:rsidR="000D4CD4">
        <w:rPr>
          <w:rFonts w:ascii="Times New Roman" w:hAnsi="Times New Roman" w:cs="Times New Roman"/>
          <w:sz w:val="24"/>
          <w:szCs w:val="24"/>
          <w:lang w:val="en-US"/>
        </w:rPr>
        <w:t xml:space="preserve">added, it is not </w:t>
      </w:r>
      <w:r>
        <w:rPr>
          <w:rFonts w:ascii="Times New Roman" w:hAnsi="Times New Roman" w:cs="Times New Roman"/>
          <w:sz w:val="24"/>
          <w:szCs w:val="24"/>
          <w:lang w:val="en-US"/>
        </w:rPr>
        <w:t>statistically significant</w:t>
      </w:r>
      <w:r w:rsidR="000D4CD4">
        <w:rPr>
          <w:rFonts w:ascii="Times New Roman" w:hAnsi="Times New Roman" w:cs="Times New Roman"/>
          <w:sz w:val="24"/>
          <w:szCs w:val="24"/>
          <w:lang w:val="en-US"/>
        </w:rPr>
        <w:t xml:space="preserve"> and the estimated coefficient </w:t>
      </w:r>
      <w:r w:rsidR="00E16595">
        <w:rPr>
          <w:rFonts w:ascii="Times New Roman" w:hAnsi="Times New Roman" w:cs="Times New Roman"/>
          <w:sz w:val="24"/>
          <w:szCs w:val="24"/>
          <w:lang w:val="en-US"/>
        </w:rPr>
        <w:t xml:space="preserve">on it </w:t>
      </w:r>
      <w:r w:rsidR="000D4CD4">
        <w:rPr>
          <w:rFonts w:ascii="Times New Roman" w:hAnsi="Times New Roman" w:cs="Times New Roman"/>
          <w:sz w:val="24"/>
          <w:szCs w:val="24"/>
          <w:lang w:val="en-US"/>
        </w:rPr>
        <w:t xml:space="preserve">is positive rather than </w:t>
      </w:r>
      <w:r w:rsidR="00E16595">
        <w:rPr>
          <w:rFonts w:ascii="Times New Roman" w:hAnsi="Times New Roman" w:cs="Times New Roman"/>
          <w:sz w:val="24"/>
          <w:szCs w:val="24"/>
          <w:lang w:val="en-US"/>
        </w:rPr>
        <w:t xml:space="preserve">the expected </w:t>
      </w:r>
      <w:r w:rsidR="000D4CD4">
        <w:rPr>
          <w:rFonts w:ascii="Times New Roman" w:hAnsi="Times New Roman" w:cs="Times New Roman"/>
          <w:sz w:val="24"/>
          <w:szCs w:val="24"/>
          <w:lang w:val="en-US"/>
        </w:rPr>
        <w:t>negative</w:t>
      </w:r>
      <w:r>
        <w:rPr>
          <w:rFonts w:ascii="Times New Roman" w:hAnsi="Times New Roman" w:cs="Times New Roman"/>
          <w:sz w:val="24"/>
          <w:szCs w:val="24"/>
          <w:lang w:val="en-US"/>
        </w:rPr>
        <w:t xml:space="preserve">.  </w:t>
      </w:r>
      <w:r w:rsidR="00123D01">
        <w:rPr>
          <w:rFonts w:ascii="Times New Roman" w:hAnsi="Times New Roman" w:cs="Times New Roman"/>
          <w:sz w:val="24"/>
          <w:szCs w:val="24"/>
          <w:lang w:val="en-US"/>
        </w:rPr>
        <w:t xml:space="preserve">With </w:t>
      </w:r>
      <w:r w:rsidRPr="00123D01">
        <w:rPr>
          <w:rFonts w:ascii="Times New Roman" w:hAnsi="Times New Roman" w:cs="Times New Roman"/>
          <w:i/>
          <w:sz w:val="24"/>
          <w:szCs w:val="24"/>
          <w:lang w:val="en-US"/>
        </w:rPr>
        <w:t>P</w:t>
      </w:r>
      <w:r>
        <w:rPr>
          <w:rFonts w:ascii="Times New Roman" w:hAnsi="Times New Roman" w:cs="Times New Roman"/>
          <w:sz w:val="24"/>
          <w:szCs w:val="24"/>
          <w:lang w:val="en-US"/>
        </w:rPr>
        <w:t xml:space="preserve"> denoting population </w:t>
      </w:r>
      <w:r w:rsidR="00E16595">
        <w:rPr>
          <w:rFonts w:ascii="Times New Roman" w:hAnsi="Times New Roman" w:cs="Times New Roman"/>
          <w:sz w:val="24"/>
          <w:szCs w:val="24"/>
          <w:lang w:val="en-US"/>
        </w:rPr>
        <w:t xml:space="preserve">in millions </w:t>
      </w:r>
      <w:r>
        <w:rPr>
          <w:rFonts w:ascii="Times New Roman" w:hAnsi="Times New Roman" w:cs="Times New Roman"/>
          <w:sz w:val="24"/>
          <w:szCs w:val="24"/>
          <w:lang w:val="en-US"/>
        </w:rPr>
        <w:t xml:space="preserve">and </w:t>
      </w:r>
      <w:proofErr w:type="gramStart"/>
      <w:r w:rsidRPr="00123D01">
        <w:rPr>
          <w:rFonts w:ascii="Times New Roman" w:hAnsi="Times New Roman" w:cs="Times New Roman"/>
          <w:i/>
          <w:sz w:val="24"/>
          <w:szCs w:val="24"/>
          <w:lang w:val="en-US"/>
        </w:rPr>
        <w:t>I</w:t>
      </w:r>
      <w:proofErr w:type="gramEnd"/>
      <w:r>
        <w:rPr>
          <w:rFonts w:ascii="Times New Roman" w:hAnsi="Times New Roman" w:cs="Times New Roman"/>
          <w:sz w:val="24"/>
          <w:szCs w:val="24"/>
          <w:lang w:val="en-US"/>
        </w:rPr>
        <w:t xml:space="preserve"> denoting no land borders (1 if so and 0 otherwise)</w:t>
      </w:r>
      <w:r w:rsidR="00123D01">
        <w:rPr>
          <w:rFonts w:ascii="Times New Roman" w:hAnsi="Times New Roman" w:cs="Times New Roman"/>
          <w:sz w:val="24"/>
          <w:szCs w:val="24"/>
          <w:lang w:val="en-US"/>
        </w:rPr>
        <w:t xml:space="preserve">, the </w:t>
      </w:r>
      <w:r w:rsidR="00E16595">
        <w:rPr>
          <w:rFonts w:ascii="Times New Roman" w:hAnsi="Times New Roman" w:cs="Times New Roman"/>
          <w:sz w:val="24"/>
          <w:szCs w:val="24"/>
          <w:lang w:val="en-US"/>
        </w:rPr>
        <w:t xml:space="preserve">model </w:t>
      </w:r>
      <w:r w:rsidR="00123D01">
        <w:rPr>
          <w:rFonts w:ascii="Times New Roman" w:hAnsi="Times New Roman" w:cs="Times New Roman"/>
          <w:sz w:val="24"/>
          <w:szCs w:val="24"/>
          <w:lang w:val="en-US"/>
        </w:rPr>
        <w:t>inclusive of the maximum Stringency Index (</w:t>
      </w:r>
      <w:r w:rsidR="00123D01" w:rsidRPr="00123D01">
        <w:rPr>
          <w:rFonts w:ascii="Times New Roman" w:hAnsi="Times New Roman" w:cs="Times New Roman"/>
          <w:i/>
          <w:sz w:val="24"/>
          <w:szCs w:val="24"/>
          <w:lang w:val="en-US"/>
        </w:rPr>
        <w:t>S</w:t>
      </w:r>
      <w:r w:rsidR="00123D01">
        <w:rPr>
          <w:rFonts w:ascii="Times New Roman" w:hAnsi="Times New Roman" w:cs="Times New Roman"/>
          <w:sz w:val="24"/>
          <w:szCs w:val="24"/>
          <w:lang w:val="en-US"/>
        </w:rPr>
        <w:t xml:space="preserve">) is </w:t>
      </w:r>
      <w:r>
        <w:rPr>
          <w:rFonts w:ascii="Times New Roman" w:hAnsi="Times New Roman" w:cs="Times New Roman"/>
          <w:sz w:val="24"/>
          <w:szCs w:val="24"/>
          <w:lang w:val="en-US"/>
        </w:rPr>
        <w:t>thus</w:t>
      </w:r>
      <w:r w:rsidR="00123D01">
        <w:rPr>
          <w:rFonts w:ascii="Times New Roman" w:hAnsi="Times New Roman" w:cs="Times New Roman"/>
          <w:sz w:val="24"/>
          <w:szCs w:val="24"/>
          <w:lang w:val="en-US"/>
        </w:rPr>
        <w:t>:</w:t>
      </w:r>
    </w:p>
    <w:p w:rsidR="000D4CD4" w:rsidRDefault="000D4CD4" w:rsidP="00F540BA">
      <w:pPr>
        <w:spacing w:after="0" w:line="360" w:lineRule="auto"/>
        <w:jc w:val="both"/>
        <w:rPr>
          <w:rFonts w:ascii="Times New Roman" w:hAnsi="Times New Roman" w:cs="Times New Roman"/>
          <w:sz w:val="24"/>
          <w:szCs w:val="24"/>
          <w:lang w:val="en-US"/>
        </w:rPr>
      </w:pPr>
    </w:p>
    <w:p w:rsidR="00F540BA" w:rsidRPr="00F540BA" w:rsidRDefault="00160BFD" w:rsidP="00F540BA">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D=-495+9.64S+3.45P-256I                                         (12)</m:t>
          </m:r>
        </m:oMath>
      </m:oMathPara>
    </w:p>
    <w:p w:rsidR="00306205" w:rsidRDefault="00306205" w:rsidP="00160BFD">
      <w:pPr>
        <w:spacing w:after="0" w:line="360" w:lineRule="auto"/>
        <w:jc w:val="center"/>
        <w:rPr>
          <w:rFonts w:ascii="Times New Roman" w:hAnsi="Times New Roman" w:cs="Times New Roman"/>
          <w:sz w:val="24"/>
          <w:szCs w:val="24"/>
          <w:lang w:val="en-US"/>
        </w:rPr>
      </w:pPr>
    </w:p>
    <w:p w:rsidR="00504EC7" w:rsidRDefault="00123D01" w:rsidP="00DC6CE2">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The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sidR="005F1BA1">
        <w:rPr>
          <w:rFonts w:ascii="Times New Roman" w:hAnsi="Times New Roman" w:cs="Times New Roman"/>
          <w:sz w:val="24"/>
          <w:szCs w:val="24"/>
          <w:lang w:val="en-US"/>
        </w:rPr>
        <w:t xml:space="preserve"> is</w:t>
      </w:r>
      <w:proofErr w:type="gramEnd"/>
      <w:r w:rsidR="005F1BA1">
        <w:rPr>
          <w:rFonts w:ascii="Times New Roman" w:hAnsi="Times New Roman" w:cs="Times New Roman"/>
          <w:sz w:val="24"/>
          <w:szCs w:val="24"/>
          <w:lang w:val="en-US"/>
        </w:rPr>
        <w:t xml:space="preserve"> a respectable 0.47</w:t>
      </w:r>
      <w:r>
        <w:rPr>
          <w:rFonts w:ascii="Times New Roman" w:hAnsi="Times New Roman" w:cs="Times New Roman"/>
          <w:sz w:val="24"/>
          <w:szCs w:val="24"/>
          <w:lang w:val="en-US"/>
        </w:rPr>
        <w:t xml:space="preserve">, and the </w:t>
      </w:r>
      <w:r w:rsidRPr="00E46250">
        <w:rPr>
          <w:rFonts w:ascii="Times New Roman" w:hAnsi="Times New Roman" w:cs="Times New Roman"/>
          <w:i/>
          <w:sz w:val="24"/>
          <w:szCs w:val="24"/>
          <w:lang w:val="en-US"/>
        </w:rPr>
        <w:t>p</w:t>
      </w:r>
      <w:r>
        <w:rPr>
          <w:rFonts w:ascii="Times New Roman" w:hAnsi="Times New Roman" w:cs="Times New Roman"/>
          <w:sz w:val="24"/>
          <w:szCs w:val="24"/>
          <w:lang w:val="en-US"/>
        </w:rPr>
        <w:t xml:space="preserve"> values </w:t>
      </w:r>
      <w:r w:rsidR="004D5073">
        <w:rPr>
          <w:rFonts w:ascii="Times New Roman" w:hAnsi="Times New Roman" w:cs="Times New Roman"/>
          <w:sz w:val="24"/>
          <w:szCs w:val="24"/>
          <w:lang w:val="en-US"/>
        </w:rPr>
        <w:t xml:space="preserve">on the four coefficients </w:t>
      </w:r>
      <w:r w:rsidR="005F1BA1">
        <w:rPr>
          <w:rFonts w:ascii="Times New Roman" w:hAnsi="Times New Roman" w:cs="Times New Roman"/>
          <w:sz w:val="24"/>
          <w:szCs w:val="24"/>
          <w:lang w:val="en-US"/>
        </w:rPr>
        <w:t>are .37, .11, .005 and .035</w:t>
      </w:r>
      <w:r>
        <w:rPr>
          <w:rFonts w:ascii="Times New Roman" w:hAnsi="Times New Roman" w:cs="Times New Roman"/>
          <w:sz w:val="24"/>
          <w:szCs w:val="24"/>
          <w:lang w:val="en-US"/>
        </w:rPr>
        <w:t xml:space="preserve"> respectively</w:t>
      </w:r>
      <w:r w:rsidR="000D4CD4">
        <w:rPr>
          <w:rFonts w:ascii="Times New Roman" w:hAnsi="Times New Roman" w:cs="Times New Roman"/>
          <w:sz w:val="24"/>
          <w:szCs w:val="24"/>
          <w:lang w:val="en-US"/>
        </w:rPr>
        <w:t xml:space="preserve">.  </w:t>
      </w:r>
      <w:r w:rsidR="004169FF">
        <w:rPr>
          <w:rFonts w:ascii="Times New Roman" w:hAnsi="Times New Roman" w:cs="Times New Roman"/>
          <w:sz w:val="24"/>
          <w:szCs w:val="24"/>
          <w:lang w:val="en-US"/>
        </w:rPr>
        <w:t>If the European and Americas</w:t>
      </w:r>
      <w:r w:rsidR="006E309A">
        <w:rPr>
          <w:rFonts w:ascii="Times New Roman" w:hAnsi="Times New Roman" w:cs="Times New Roman"/>
          <w:sz w:val="24"/>
          <w:szCs w:val="24"/>
          <w:lang w:val="en-US"/>
        </w:rPr>
        <w:t xml:space="preserve"> data are pooled, </w:t>
      </w:r>
      <w:r w:rsidR="002C2A84" w:rsidRPr="002C2A84">
        <w:rPr>
          <w:rFonts w:ascii="Times New Roman" w:hAnsi="Times New Roman" w:cs="Times New Roman"/>
          <w:i/>
          <w:sz w:val="24"/>
          <w:szCs w:val="24"/>
          <w:lang w:val="en-US"/>
        </w:rPr>
        <w:t>P</w:t>
      </w:r>
      <w:r w:rsidR="00504EC7">
        <w:rPr>
          <w:rFonts w:ascii="Times New Roman" w:hAnsi="Times New Roman" w:cs="Times New Roman"/>
          <w:sz w:val="24"/>
          <w:szCs w:val="24"/>
          <w:lang w:val="en-US"/>
        </w:rPr>
        <w:t>,</w:t>
      </w:r>
      <w:r w:rsidR="002C2A84">
        <w:rPr>
          <w:rFonts w:ascii="Times New Roman" w:hAnsi="Times New Roman" w:cs="Times New Roman"/>
          <w:sz w:val="24"/>
          <w:szCs w:val="24"/>
          <w:lang w:val="en-US"/>
        </w:rPr>
        <w:t xml:space="preserve"> </w:t>
      </w:r>
      <w:r w:rsidR="002C2A84" w:rsidRPr="002C2A84">
        <w:rPr>
          <w:rFonts w:ascii="Times New Roman" w:hAnsi="Times New Roman" w:cs="Times New Roman"/>
          <w:i/>
          <w:sz w:val="24"/>
          <w:szCs w:val="24"/>
          <w:lang w:val="en-US"/>
        </w:rPr>
        <w:t>I</w:t>
      </w:r>
      <w:r w:rsidR="002C2A84">
        <w:rPr>
          <w:rFonts w:ascii="Times New Roman" w:hAnsi="Times New Roman" w:cs="Times New Roman"/>
          <w:sz w:val="24"/>
          <w:szCs w:val="24"/>
          <w:lang w:val="en-US"/>
        </w:rPr>
        <w:t xml:space="preserve"> </w:t>
      </w:r>
      <w:r w:rsidR="00504EC7">
        <w:rPr>
          <w:rFonts w:ascii="Times New Roman" w:hAnsi="Times New Roman" w:cs="Times New Roman"/>
          <w:sz w:val="24"/>
          <w:szCs w:val="24"/>
          <w:lang w:val="en-US"/>
        </w:rPr>
        <w:t>and date of first death (</w:t>
      </w:r>
      <w:r w:rsidR="00504EC7" w:rsidRPr="00504EC7">
        <w:rPr>
          <w:rFonts w:ascii="Times New Roman" w:hAnsi="Times New Roman" w:cs="Times New Roman"/>
          <w:i/>
          <w:sz w:val="24"/>
          <w:szCs w:val="24"/>
          <w:lang w:val="en-US"/>
        </w:rPr>
        <w:t>FD</w:t>
      </w:r>
      <w:r w:rsidR="00504EC7">
        <w:rPr>
          <w:rFonts w:ascii="Times New Roman" w:hAnsi="Times New Roman" w:cs="Times New Roman"/>
          <w:sz w:val="24"/>
          <w:szCs w:val="24"/>
          <w:lang w:val="en-US"/>
        </w:rPr>
        <w:t xml:space="preserve">) </w:t>
      </w:r>
      <w:r w:rsidR="002C2A84">
        <w:rPr>
          <w:rFonts w:ascii="Times New Roman" w:hAnsi="Times New Roman" w:cs="Times New Roman"/>
          <w:sz w:val="24"/>
          <w:szCs w:val="24"/>
          <w:lang w:val="en-US"/>
        </w:rPr>
        <w:t xml:space="preserve">are </w:t>
      </w:r>
      <w:r w:rsidR="006E309A">
        <w:rPr>
          <w:rFonts w:ascii="Times New Roman" w:hAnsi="Times New Roman" w:cs="Times New Roman"/>
          <w:sz w:val="24"/>
          <w:szCs w:val="24"/>
          <w:lang w:val="en-US"/>
        </w:rPr>
        <w:t>statistically significant</w:t>
      </w:r>
      <w:r w:rsidR="00504EC7">
        <w:rPr>
          <w:rFonts w:ascii="Times New Roman" w:hAnsi="Times New Roman" w:cs="Times New Roman"/>
          <w:sz w:val="24"/>
          <w:szCs w:val="24"/>
          <w:lang w:val="en-US"/>
        </w:rPr>
        <w:t xml:space="preserve"> at the 10% level</w:t>
      </w:r>
      <w:r w:rsidR="006E309A">
        <w:rPr>
          <w:rFonts w:ascii="Times New Roman" w:hAnsi="Times New Roman" w:cs="Times New Roman"/>
          <w:sz w:val="24"/>
          <w:szCs w:val="24"/>
          <w:lang w:val="en-US"/>
        </w:rPr>
        <w:t xml:space="preserve">, with </w:t>
      </w:r>
      <w:r w:rsidR="00504EC7">
        <w:rPr>
          <w:rFonts w:ascii="Times New Roman" w:hAnsi="Times New Roman" w:cs="Times New Roman"/>
          <w:sz w:val="24"/>
          <w:szCs w:val="24"/>
          <w:lang w:val="en-US"/>
        </w:rPr>
        <w:t xml:space="preserve">all coefficients having the expected signs.  Addition of </w:t>
      </w:r>
      <w:r w:rsidR="00504EC7" w:rsidRPr="003C5E70">
        <w:rPr>
          <w:rFonts w:ascii="Times New Roman" w:hAnsi="Times New Roman" w:cs="Times New Roman"/>
          <w:i/>
          <w:sz w:val="24"/>
          <w:szCs w:val="24"/>
          <w:lang w:val="en-US"/>
        </w:rPr>
        <w:t>S</w:t>
      </w:r>
      <w:r w:rsidR="00504EC7">
        <w:rPr>
          <w:rFonts w:ascii="Times New Roman" w:hAnsi="Times New Roman" w:cs="Times New Roman"/>
          <w:sz w:val="24"/>
          <w:szCs w:val="24"/>
          <w:lang w:val="en-US"/>
        </w:rPr>
        <w:t xml:space="preserve"> yields a coefficient that is not statistically significant, and with the wrong sign.  The resulting model is thus:</w:t>
      </w:r>
    </w:p>
    <w:p w:rsidR="00504EC7" w:rsidRDefault="00504EC7" w:rsidP="00DC6CE2">
      <w:pPr>
        <w:spacing w:after="0" w:line="360" w:lineRule="auto"/>
        <w:jc w:val="both"/>
        <w:rPr>
          <w:rFonts w:ascii="Times New Roman" w:hAnsi="Times New Roman" w:cs="Times New Roman"/>
          <w:sz w:val="24"/>
          <w:szCs w:val="24"/>
          <w:lang w:val="en-US"/>
        </w:rPr>
      </w:pPr>
    </w:p>
    <w:p w:rsidR="00504EC7" w:rsidRDefault="00ED60FD" w:rsidP="00DC6CE2">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D=232+4.19S+2.96P-214I-5.8FD                                 (13)</m:t>
          </m:r>
        </m:oMath>
      </m:oMathPara>
    </w:p>
    <w:p w:rsidR="00504EC7" w:rsidRDefault="00504EC7" w:rsidP="00160BFD">
      <w:pPr>
        <w:spacing w:after="0" w:line="360" w:lineRule="auto"/>
        <w:jc w:val="center"/>
        <w:rPr>
          <w:rFonts w:ascii="Times New Roman" w:hAnsi="Times New Roman" w:cs="Times New Roman"/>
          <w:sz w:val="24"/>
          <w:szCs w:val="24"/>
          <w:lang w:val="en-US"/>
        </w:rPr>
      </w:pPr>
    </w:p>
    <w:p w:rsidR="00123D01" w:rsidRDefault="00956685" w:rsidP="00DC6CE2">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The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oMath>
      <w:r>
        <w:rPr>
          <w:rFonts w:ascii="Times New Roman" w:hAnsi="Times New Roman" w:cs="Times New Roman"/>
          <w:sz w:val="24"/>
          <w:szCs w:val="24"/>
          <w:lang w:val="en-US"/>
        </w:rPr>
        <w:t xml:space="preserve"> is</w:t>
      </w:r>
      <w:proofErr w:type="gramEnd"/>
      <w:r>
        <w:rPr>
          <w:rFonts w:ascii="Times New Roman" w:hAnsi="Times New Roman" w:cs="Times New Roman"/>
          <w:sz w:val="24"/>
          <w:szCs w:val="24"/>
          <w:lang w:val="en-US"/>
        </w:rPr>
        <w:t xml:space="preserve"> a respectable 0.37, and the </w:t>
      </w:r>
      <w:r w:rsidRPr="00E46250">
        <w:rPr>
          <w:rFonts w:ascii="Times New Roman" w:hAnsi="Times New Roman" w:cs="Times New Roman"/>
          <w:i/>
          <w:sz w:val="24"/>
          <w:szCs w:val="24"/>
          <w:lang w:val="en-US"/>
        </w:rPr>
        <w:t>p</w:t>
      </w:r>
      <w:r>
        <w:rPr>
          <w:rFonts w:ascii="Times New Roman" w:hAnsi="Times New Roman" w:cs="Times New Roman"/>
          <w:sz w:val="24"/>
          <w:szCs w:val="24"/>
          <w:lang w:val="en-US"/>
        </w:rPr>
        <w:t xml:space="preserve"> values on the </w:t>
      </w:r>
      <w:r w:rsidR="0071185E">
        <w:rPr>
          <w:rFonts w:ascii="Times New Roman" w:hAnsi="Times New Roman" w:cs="Times New Roman"/>
          <w:sz w:val="24"/>
          <w:szCs w:val="24"/>
          <w:lang w:val="en-US"/>
        </w:rPr>
        <w:t>five</w:t>
      </w:r>
      <w:r w:rsidR="002E4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coefficients </w:t>
      </w:r>
      <w:r w:rsidR="0071185E">
        <w:rPr>
          <w:rFonts w:ascii="Times New Roman" w:hAnsi="Times New Roman" w:cs="Times New Roman"/>
          <w:sz w:val="24"/>
          <w:szCs w:val="24"/>
          <w:lang w:val="en-US"/>
        </w:rPr>
        <w:t>are .44</w:t>
      </w:r>
      <w:r w:rsidR="002E4BCB">
        <w:rPr>
          <w:rFonts w:ascii="Times New Roman" w:hAnsi="Times New Roman" w:cs="Times New Roman"/>
          <w:sz w:val="24"/>
          <w:szCs w:val="24"/>
          <w:lang w:val="en-US"/>
        </w:rPr>
        <w:t>,</w:t>
      </w:r>
      <w:r w:rsidR="0071185E">
        <w:rPr>
          <w:rFonts w:ascii="Times New Roman" w:hAnsi="Times New Roman" w:cs="Times New Roman"/>
          <w:sz w:val="24"/>
          <w:szCs w:val="24"/>
          <w:lang w:val="en-US"/>
        </w:rPr>
        <w:t xml:space="preserve"> .24, .006, .052</w:t>
      </w:r>
      <w:r w:rsidR="00350D00">
        <w:rPr>
          <w:rFonts w:ascii="Times New Roman" w:hAnsi="Times New Roman" w:cs="Times New Roman"/>
          <w:sz w:val="24"/>
          <w:szCs w:val="24"/>
          <w:lang w:val="en-US"/>
        </w:rPr>
        <w:t xml:space="preserve">, </w:t>
      </w:r>
      <w:r w:rsidR="0071185E">
        <w:rPr>
          <w:rFonts w:ascii="Times New Roman" w:hAnsi="Times New Roman" w:cs="Times New Roman"/>
          <w:sz w:val="24"/>
          <w:szCs w:val="24"/>
          <w:lang w:val="en-US"/>
        </w:rPr>
        <w:t>and .040</w:t>
      </w:r>
      <w:r>
        <w:rPr>
          <w:rFonts w:ascii="Times New Roman" w:hAnsi="Times New Roman" w:cs="Times New Roman"/>
          <w:sz w:val="24"/>
          <w:szCs w:val="24"/>
          <w:lang w:val="en-US"/>
        </w:rPr>
        <w:t xml:space="preserve"> respectively.  </w:t>
      </w:r>
      <w:r w:rsidR="00ED60FD">
        <w:rPr>
          <w:rFonts w:ascii="Times New Roman" w:hAnsi="Times New Roman" w:cs="Times New Roman"/>
          <w:sz w:val="24"/>
          <w:szCs w:val="24"/>
          <w:lang w:val="en-US"/>
        </w:rPr>
        <w:t>Across these three models (</w:t>
      </w:r>
      <w:r w:rsidR="00EA2F07">
        <w:rPr>
          <w:rFonts w:ascii="Times New Roman" w:hAnsi="Times New Roman" w:cs="Times New Roman"/>
          <w:sz w:val="24"/>
          <w:szCs w:val="24"/>
          <w:lang w:val="en-US"/>
        </w:rPr>
        <w:t>11</w:t>
      </w:r>
      <w:r w:rsidR="00ED60FD">
        <w:rPr>
          <w:rFonts w:ascii="Times New Roman" w:hAnsi="Times New Roman" w:cs="Times New Roman"/>
          <w:sz w:val="24"/>
          <w:szCs w:val="24"/>
          <w:lang w:val="en-US"/>
        </w:rPr>
        <w:t>), (</w:t>
      </w:r>
      <w:r w:rsidR="00EA2F07">
        <w:rPr>
          <w:rFonts w:ascii="Times New Roman" w:hAnsi="Times New Roman" w:cs="Times New Roman"/>
          <w:sz w:val="24"/>
          <w:szCs w:val="24"/>
          <w:lang w:val="en-US"/>
        </w:rPr>
        <w:t>12</w:t>
      </w:r>
      <w:r w:rsidR="00ED60FD">
        <w:rPr>
          <w:rFonts w:ascii="Times New Roman" w:hAnsi="Times New Roman" w:cs="Times New Roman"/>
          <w:sz w:val="24"/>
          <w:szCs w:val="24"/>
          <w:lang w:val="en-US"/>
        </w:rPr>
        <w:t>) and (</w:t>
      </w:r>
      <w:r w:rsidR="00EA2F07">
        <w:rPr>
          <w:rFonts w:ascii="Times New Roman" w:hAnsi="Times New Roman" w:cs="Times New Roman"/>
          <w:sz w:val="24"/>
          <w:szCs w:val="24"/>
          <w:lang w:val="en-US"/>
        </w:rPr>
        <w:t>13</w:t>
      </w:r>
      <w:r w:rsidR="00ED60FD">
        <w:rPr>
          <w:rFonts w:ascii="Times New Roman" w:hAnsi="Times New Roman" w:cs="Times New Roman"/>
          <w:sz w:val="24"/>
          <w:szCs w:val="24"/>
          <w:lang w:val="en-US"/>
        </w:rPr>
        <w:t xml:space="preserve">), </w:t>
      </w:r>
      <w:r w:rsidR="00963A72">
        <w:rPr>
          <w:rFonts w:ascii="Times New Roman" w:hAnsi="Times New Roman" w:cs="Times New Roman"/>
          <w:sz w:val="24"/>
          <w:szCs w:val="24"/>
          <w:lang w:val="en-US"/>
        </w:rPr>
        <w:t>equatio</w:t>
      </w:r>
      <w:r w:rsidR="00EA2F07">
        <w:rPr>
          <w:rFonts w:ascii="Times New Roman" w:hAnsi="Times New Roman" w:cs="Times New Roman"/>
          <w:sz w:val="24"/>
          <w:szCs w:val="24"/>
          <w:lang w:val="en-US"/>
        </w:rPr>
        <w:t>n (11</w:t>
      </w:r>
      <w:r w:rsidR="00350D00">
        <w:rPr>
          <w:rFonts w:ascii="Times New Roman" w:hAnsi="Times New Roman" w:cs="Times New Roman"/>
          <w:sz w:val="24"/>
          <w:szCs w:val="24"/>
          <w:lang w:val="en-US"/>
        </w:rPr>
        <w:t xml:space="preserve">) then yields the lowest coefficient on </w:t>
      </w:r>
      <w:r w:rsidR="00350D00" w:rsidRPr="00350D00">
        <w:rPr>
          <w:rFonts w:ascii="Times New Roman" w:hAnsi="Times New Roman" w:cs="Times New Roman"/>
          <w:i/>
          <w:sz w:val="24"/>
          <w:szCs w:val="24"/>
          <w:lang w:val="en-US"/>
        </w:rPr>
        <w:t>S</w:t>
      </w:r>
      <w:r w:rsidR="003C5E70">
        <w:rPr>
          <w:rFonts w:ascii="Times New Roman" w:hAnsi="Times New Roman" w:cs="Times New Roman"/>
          <w:sz w:val="24"/>
          <w:szCs w:val="24"/>
          <w:lang w:val="en-US"/>
        </w:rPr>
        <w:t>, and use of it is therefore conservative</w:t>
      </w:r>
      <w:r w:rsidR="00963A72">
        <w:rPr>
          <w:rFonts w:ascii="Times New Roman" w:hAnsi="Times New Roman" w:cs="Times New Roman"/>
          <w:sz w:val="24"/>
          <w:szCs w:val="24"/>
          <w:lang w:val="en-US"/>
        </w:rPr>
        <w:t xml:space="preserve">.  </w:t>
      </w:r>
      <w:r w:rsidR="007A1FC0">
        <w:rPr>
          <w:rFonts w:ascii="Times New Roman" w:hAnsi="Times New Roman" w:cs="Times New Roman"/>
          <w:sz w:val="24"/>
          <w:szCs w:val="24"/>
          <w:lang w:val="en-US"/>
        </w:rPr>
        <w:t>This additional analysis also amplifies</w:t>
      </w:r>
      <w:r w:rsidR="0007395F">
        <w:rPr>
          <w:rFonts w:ascii="Times New Roman" w:hAnsi="Times New Roman" w:cs="Times New Roman"/>
          <w:sz w:val="24"/>
          <w:szCs w:val="24"/>
          <w:lang w:val="en-US"/>
        </w:rPr>
        <w:t xml:space="preserve"> the point that New Zealand was </w:t>
      </w:r>
      <w:r w:rsidR="007A1FC0">
        <w:rPr>
          <w:rFonts w:ascii="Times New Roman" w:hAnsi="Times New Roman" w:cs="Times New Roman"/>
          <w:sz w:val="24"/>
          <w:szCs w:val="24"/>
          <w:lang w:val="en-US"/>
        </w:rPr>
        <w:t xml:space="preserve">in a remarkably </w:t>
      </w:r>
      <w:proofErr w:type="spellStart"/>
      <w:r w:rsidR="007A1FC0">
        <w:rPr>
          <w:rFonts w:ascii="Times New Roman" w:hAnsi="Times New Roman" w:cs="Times New Roman"/>
          <w:sz w:val="24"/>
          <w:szCs w:val="24"/>
          <w:lang w:val="en-US"/>
        </w:rPr>
        <w:t>favourable</w:t>
      </w:r>
      <w:proofErr w:type="spellEnd"/>
      <w:r w:rsidR="007A1FC0">
        <w:rPr>
          <w:rFonts w:ascii="Times New Roman" w:hAnsi="Times New Roman" w:cs="Times New Roman"/>
          <w:sz w:val="24"/>
          <w:szCs w:val="24"/>
          <w:lang w:val="en-US"/>
        </w:rPr>
        <w:t xml:space="preserve"> position, </w:t>
      </w:r>
      <w:r w:rsidR="00963A72">
        <w:rPr>
          <w:rFonts w:ascii="Times New Roman" w:hAnsi="Times New Roman" w:cs="Times New Roman"/>
          <w:sz w:val="24"/>
          <w:szCs w:val="24"/>
          <w:lang w:val="en-US"/>
        </w:rPr>
        <w:t xml:space="preserve">even without resort to lockdowns, </w:t>
      </w:r>
      <w:r w:rsidR="007A1FC0">
        <w:rPr>
          <w:rFonts w:ascii="Times New Roman" w:hAnsi="Times New Roman" w:cs="Times New Roman"/>
          <w:sz w:val="24"/>
          <w:szCs w:val="24"/>
          <w:lang w:val="en-US"/>
        </w:rPr>
        <w:t>because it</w:t>
      </w:r>
      <w:r w:rsidR="0007395F">
        <w:rPr>
          <w:rFonts w:ascii="Times New Roman" w:hAnsi="Times New Roman" w:cs="Times New Roman"/>
          <w:sz w:val="24"/>
          <w:szCs w:val="24"/>
          <w:lang w:val="en-US"/>
        </w:rPr>
        <w:t xml:space="preserve"> </w:t>
      </w:r>
      <w:r w:rsidR="00844C8C">
        <w:rPr>
          <w:rFonts w:ascii="Times New Roman" w:hAnsi="Times New Roman" w:cs="Times New Roman"/>
          <w:sz w:val="24"/>
          <w:szCs w:val="24"/>
          <w:lang w:val="en-US"/>
        </w:rPr>
        <w:t xml:space="preserve">has </w:t>
      </w:r>
      <w:proofErr w:type="spellStart"/>
      <w:r w:rsidR="00844C8C">
        <w:rPr>
          <w:rFonts w:ascii="Times New Roman" w:hAnsi="Times New Roman" w:cs="Times New Roman"/>
          <w:sz w:val="24"/>
          <w:szCs w:val="24"/>
          <w:lang w:val="en-US"/>
        </w:rPr>
        <w:t>favourable</w:t>
      </w:r>
      <w:proofErr w:type="spellEnd"/>
      <w:r w:rsidR="00844C8C">
        <w:rPr>
          <w:rFonts w:ascii="Times New Roman" w:hAnsi="Times New Roman" w:cs="Times New Roman"/>
          <w:sz w:val="24"/>
          <w:szCs w:val="24"/>
          <w:lang w:val="en-US"/>
        </w:rPr>
        <w:t xml:space="preserve"> values for all </w:t>
      </w:r>
      <w:r w:rsidR="0007395F">
        <w:rPr>
          <w:rFonts w:ascii="Times New Roman" w:hAnsi="Times New Roman" w:cs="Times New Roman"/>
          <w:sz w:val="24"/>
          <w:szCs w:val="24"/>
          <w:lang w:val="en-US"/>
        </w:rPr>
        <w:t xml:space="preserve">of the variables found to </w:t>
      </w:r>
      <w:r w:rsidR="00844C8C">
        <w:rPr>
          <w:rFonts w:ascii="Times New Roman" w:hAnsi="Times New Roman" w:cs="Times New Roman"/>
          <w:sz w:val="24"/>
          <w:szCs w:val="24"/>
          <w:lang w:val="en-US"/>
        </w:rPr>
        <w:t xml:space="preserve">reduce the Covid-19 </w:t>
      </w:r>
      <w:r w:rsidR="0007395F">
        <w:rPr>
          <w:rFonts w:ascii="Times New Roman" w:hAnsi="Times New Roman" w:cs="Times New Roman"/>
          <w:sz w:val="24"/>
          <w:szCs w:val="24"/>
          <w:lang w:val="en-US"/>
        </w:rPr>
        <w:t xml:space="preserve">death rate: low population, no land borders, low population density, and </w:t>
      </w:r>
      <w:r w:rsidR="00FF5B4B">
        <w:rPr>
          <w:rFonts w:ascii="Times New Roman" w:hAnsi="Times New Roman" w:cs="Times New Roman"/>
          <w:sz w:val="24"/>
          <w:szCs w:val="24"/>
          <w:lang w:val="en-US"/>
        </w:rPr>
        <w:t>first death well after the first death in Europe.</w:t>
      </w:r>
    </w:p>
    <w:p w:rsidR="00123D01" w:rsidRDefault="00123D01" w:rsidP="00DC6CE2">
      <w:pPr>
        <w:spacing w:after="0" w:line="360" w:lineRule="auto"/>
        <w:jc w:val="both"/>
        <w:rPr>
          <w:rFonts w:ascii="Times New Roman" w:hAnsi="Times New Roman" w:cs="Times New Roman"/>
          <w:sz w:val="24"/>
          <w:szCs w:val="24"/>
          <w:lang w:val="en-US"/>
        </w:rPr>
      </w:pPr>
    </w:p>
    <w:p w:rsidR="00D70FAF" w:rsidRDefault="00995296" w:rsidP="00DC6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further </w:t>
      </w:r>
      <w:r w:rsidR="00306205">
        <w:rPr>
          <w:rFonts w:ascii="Times New Roman" w:hAnsi="Times New Roman" w:cs="Times New Roman"/>
          <w:sz w:val="24"/>
          <w:szCs w:val="24"/>
          <w:lang w:val="en-US"/>
        </w:rPr>
        <w:t xml:space="preserve">feature of the </w:t>
      </w:r>
      <w:r w:rsidR="00192591">
        <w:rPr>
          <w:rFonts w:ascii="Times New Roman" w:hAnsi="Times New Roman" w:cs="Times New Roman"/>
          <w:sz w:val="24"/>
          <w:szCs w:val="24"/>
          <w:lang w:val="en-US"/>
        </w:rPr>
        <w:t xml:space="preserve">European </w:t>
      </w:r>
      <w:r w:rsidR="00306205">
        <w:rPr>
          <w:rFonts w:ascii="Times New Roman" w:hAnsi="Times New Roman" w:cs="Times New Roman"/>
          <w:sz w:val="24"/>
          <w:szCs w:val="24"/>
          <w:lang w:val="en-US"/>
        </w:rPr>
        <w:t xml:space="preserve">data is noteworthy.  The increase in the death </w:t>
      </w:r>
      <w:r w:rsidR="008B11CE">
        <w:rPr>
          <w:rFonts w:ascii="Times New Roman" w:hAnsi="Times New Roman" w:cs="Times New Roman"/>
          <w:sz w:val="24"/>
          <w:szCs w:val="24"/>
          <w:lang w:val="en-US"/>
        </w:rPr>
        <w:t>rate per 1m from 22 August to 30</w:t>
      </w:r>
      <w:r w:rsidR="00306205">
        <w:rPr>
          <w:rFonts w:ascii="Times New Roman" w:hAnsi="Times New Roman" w:cs="Times New Roman"/>
          <w:sz w:val="24"/>
          <w:szCs w:val="24"/>
          <w:lang w:val="en-US"/>
        </w:rPr>
        <w:t xml:space="preserve"> November </w:t>
      </w:r>
      <w:r w:rsidR="00A708D2">
        <w:rPr>
          <w:rFonts w:ascii="Times New Roman" w:hAnsi="Times New Roman" w:cs="Times New Roman"/>
          <w:sz w:val="24"/>
          <w:szCs w:val="24"/>
          <w:lang w:val="en-US"/>
        </w:rPr>
        <w:t xml:space="preserve">for European countries </w:t>
      </w:r>
      <w:r w:rsidR="00306205">
        <w:rPr>
          <w:rFonts w:ascii="Times New Roman" w:hAnsi="Times New Roman" w:cs="Times New Roman"/>
          <w:sz w:val="24"/>
          <w:szCs w:val="24"/>
          <w:lang w:val="en-US"/>
        </w:rPr>
        <w:t>has varied significantly</w:t>
      </w:r>
      <w:r w:rsidR="00E36DF1">
        <w:rPr>
          <w:rFonts w:ascii="Times New Roman" w:hAnsi="Times New Roman" w:cs="Times New Roman"/>
          <w:sz w:val="24"/>
          <w:szCs w:val="24"/>
          <w:lang w:val="en-US"/>
        </w:rPr>
        <w:t xml:space="preserve"> across countries, from a mere 14%</w:t>
      </w:r>
      <w:r w:rsidR="00306205">
        <w:rPr>
          <w:rFonts w:ascii="Times New Roman" w:hAnsi="Times New Roman" w:cs="Times New Roman"/>
          <w:sz w:val="24"/>
          <w:szCs w:val="24"/>
          <w:lang w:val="en-US"/>
        </w:rPr>
        <w:t xml:space="preserve"> more in the case of Sweden (</w:t>
      </w:r>
      <w:r w:rsidR="003B3F39">
        <w:rPr>
          <w:rFonts w:ascii="Times New Roman" w:hAnsi="Times New Roman" w:cs="Times New Roman"/>
          <w:sz w:val="24"/>
          <w:szCs w:val="24"/>
          <w:lang w:val="en-US"/>
        </w:rPr>
        <w:t>576</w:t>
      </w:r>
      <w:r w:rsidR="00E36DF1">
        <w:rPr>
          <w:rFonts w:ascii="Times New Roman" w:hAnsi="Times New Roman" w:cs="Times New Roman"/>
          <w:sz w:val="24"/>
          <w:szCs w:val="24"/>
          <w:lang w:val="en-US"/>
        </w:rPr>
        <w:t xml:space="preserve"> to 660</w:t>
      </w:r>
      <w:r w:rsidR="00306205">
        <w:rPr>
          <w:rFonts w:ascii="Times New Roman" w:hAnsi="Times New Roman" w:cs="Times New Roman"/>
          <w:sz w:val="24"/>
          <w:szCs w:val="24"/>
          <w:lang w:val="en-US"/>
        </w:rPr>
        <w:t xml:space="preserve">) to </w:t>
      </w:r>
      <w:r w:rsidR="00E36DF1">
        <w:rPr>
          <w:rFonts w:ascii="Times New Roman" w:hAnsi="Times New Roman" w:cs="Times New Roman"/>
          <w:sz w:val="24"/>
          <w:szCs w:val="24"/>
          <w:lang w:val="en-US"/>
        </w:rPr>
        <w:t>a multiple of 24</w:t>
      </w:r>
      <w:r w:rsidR="003B3F39">
        <w:rPr>
          <w:rFonts w:ascii="Times New Roman" w:hAnsi="Times New Roman" w:cs="Times New Roman"/>
          <w:sz w:val="24"/>
          <w:szCs w:val="24"/>
          <w:lang w:val="en-US"/>
        </w:rPr>
        <w:t xml:space="preserve"> in the case of </w:t>
      </w:r>
      <w:r w:rsidR="00E36DF1">
        <w:rPr>
          <w:rFonts w:ascii="Times New Roman" w:hAnsi="Times New Roman" w:cs="Times New Roman"/>
          <w:sz w:val="24"/>
          <w:szCs w:val="24"/>
          <w:lang w:val="en-US"/>
        </w:rPr>
        <w:t>Slovakia (6 to 149</w:t>
      </w:r>
      <w:r w:rsidR="003B3F39">
        <w:rPr>
          <w:rFonts w:ascii="Times New Roman" w:hAnsi="Times New Roman" w:cs="Times New Roman"/>
          <w:sz w:val="24"/>
          <w:szCs w:val="24"/>
          <w:lang w:val="en-US"/>
        </w:rPr>
        <w:t>).  Cross-</w:t>
      </w:r>
      <w:proofErr w:type="spellStart"/>
      <w:r w:rsidR="003B3F39">
        <w:rPr>
          <w:rFonts w:ascii="Times New Roman" w:hAnsi="Times New Roman" w:cs="Times New Roman"/>
          <w:sz w:val="24"/>
          <w:szCs w:val="24"/>
          <w:lang w:val="en-US"/>
        </w:rPr>
        <w:t>sectionally</w:t>
      </w:r>
      <w:proofErr w:type="spellEnd"/>
      <w:r w:rsidR="003B3F39">
        <w:rPr>
          <w:rFonts w:ascii="Times New Roman" w:hAnsi="Times New Roman" w:cs="Times New Roman"/>
          <w:sz w:val="24"/>
          <w:szCs w:val="24"/>
          <w:lang w:val="en-US"/>
        </w:rPr>
        <w:t xml:space="preserve"> regressing the change in proportional terms on the 22 August death rate</w:t>
      </w:r>
      <w:r w:rsidR="00D70FAF">
        <w:rPr>
          <w:rFonts w:ascii="Times New Roman" w:hAnsi="Times New Roman" w:cs="Times New Roman"/>
          <w:sz w:val="24"/>
          <w:szCs w:val="24"/>
          <w:lang w:val="en-US"/>
        </w:rPr>
        <w:t xml:space="preserve"> (</w:t>
      </w:r>
      <w:r w:rsidR="00D70FAF" w:rsidRPr="00D70FAF">
        <w:rPr>
          <w:rFonts w:ascii="Times New Roman" w:hAnsi="Times New Roman" w:cs="Times New Roman"/>
          <w:i/>
          <w:sz w:val="24"/>
          <w:szCs w:val="24"/>
          <w:lang w:val="en-US"/>
        </w:rPr>
        <w:t>D</w:t>
      </w:r>
      <w:r w:rsidR="00D70FAF">
        <w:rPr>
          <w:rFonts w:ascii="Times New Roman" w:hAnsi="Times New Roman" w:cs="Times New Roman"/>
          <w:sz w:val="24"/>
          <w:szCs w:val="24"/>
          <w:lang w:val="en-US"/>
        </w:rPr>
        <w:t>)</w:t>
      </w:r>
      <w:r w:rsidR="003B3F39">
        <w:rPr>
          <w:rFonts w:ascii="Times New Roman" w:hAnsi="Times New Roman" w:cs="Times New Roman"/>
          <w:sz w:val="24"/>
          <w:szCs w:val="24"/>
          <w:lang w:val="en-US"/>
        </w:rPr>
        <w:t xml:space="preserve"> yields a negative and statistically significant coeffici</w:t>
      </w:r>
      <w:r w:rsidR="00D70FAF">
        <w:rPr>
          <w:rFonts w:ascii="Times New Roman" w:hAnsi="Times New Roman" w:cs="Times New Roman"/>
          <w:sz w:val="24"/>
          <w:szCs w:val="24"/>
          <w:lang w:val="en-US"/>
        </w:rPr>
        <w:t>ent on the 22 August death rate (</w:t>
      </w:r>
      <w:r w:rsidR="00D70FAF" w:rsidRPr="00D70FAF">
        <w:rPr>
          <w:rFonts w:ascii="Times New Roman" w:hAnsi="Times New Roman" w:cs="Times New Roman"/>
          <w:i/>
          <w:sz w:val="24"/>
          <w:szCs w:val="24"/>
          <w:lang w:val="en-US"/>
        </w:rPr>
        <w:t>p</w:t>
      </w:r>
      <w:r w:rsidR="009371DC">
        <w:rPr>
          <w:rFonts w:ascii="Times New Roman" w:hAnsi="Times New Roman" w:cs="Times New Roman"/>
          <w:sz w:val="24"/>
          <w:szCs w:val="24"/>
          <w:lang w:val="en-US"/>
        </w:rPr>
        <w:t xml:space="preserve"> = .015</w:t>
      </w:r>
      <w:r w:rsidR="00D70FAF">
        <w:rPr>
          <w:rFonts w:ascii="Times New Roman" w:hAnsi="Times New Roman" w:cs="Times New Roman"/>
          <w:sz w:val="24"/>
          <w:szCs w:val="24"/>
          <w:lang w:val="en-US"/>
        </w:rPr>
        <w:t>):</w:t>
      </w:r>
    </w:p>
    <w:p w:rsidR="00D70FAF" w:rsidRDefault="00D70FAF" w:rsidP="00DC6CE2">
      <w:pPr>
        <w:spacing w:after="0" w:line="360" w:lineRule="auto"/>
        <w:jc w:val="both"/>
        <w:rPr>
          <w:rFonts w:ascii="Times New Roman" w:hAnsi="Times New Roman" w:cs="Times New Roman"/>
          <w:sz w:val="24"/>
          <w:szCs w:val="24"/>
          <w:lang w:val="en-US"/>
        </w:rPr>
      </w:pPr>
    </w:p>
    <w:p w:rsidR="00D70FAF" w:rsidRDefault="00033DF9" w:rsidP="00DC6CE2">
      <w:pPr>
        <w:spacing w:after="0" w:line="360" w:lineRule="auto"/>
        <w:jc w:val="both"/>
        <w:rPr>
          <w:rFonts w:ascii="Times New Roman" w:hAnsi="Times New Roman" w:cs="Times New Roman"/>
          <w:sz w:val="24"/>
          <w:szCs w:val="24"/>
          <w:lang w:val="en-US"/>
        </w:rPr>
      </w:pPr>
      <m:oMathPara>
        <m:oMath>
          <m:f>
            <m:fPr>
              <m:ctrlPr>
                <w:rPr>
                  <w:rFonts w:ascii="Cambria Math" w:hAnsi="Cambria Math" w:cs="Times New Roman"/>
                  <w:i/>
                  <w:sz w:val="24"/>
                  <w:szCs w:val="24"/>
                  <w:lang w:val="en-US"/>
                </w:rPr>
              </m:ctrlPr>
            </m:fPr>
            <m:num>
              <m:r>
                <w:rPr>
                  <w:rFonts w:ascii="Cambria Math" w:hAnsi="Cambria Math" w:cs="Times New Roman"/>
                  <w:sz w:val="24"/>
                  <w:szCs w:val="24"/>
                  <w:lang w:val="en-US"/>
                </w:rPr>
                <m:t>∆D</m:t>
              </m:r>
            </m:num>
            <m:den>
              <m:r>
                <w:rPr>
                  <w:rFonts w:ascii="Cambria Math" w:hAnsi="Cambria Math" w:cs="Times New Roman"/>
                  <w:sz w:val="24"/>
                  <w:szCs w:val="24"/>
                  <w:lang w:val="en-US"/>
                </w:rPr>
                <m:t>D</m:t>
              </m:r>
            </m:den>
          </m:f>
          <m:r>
            <w:rPr>
              <w:rFonts w:ascii="Cambria Math" w:hAnsi="Cambria Math" w:cs="Times New Roman"/>
              <w:sz w:val="24"/>
              <w:szCs w:val="24"/>
              <w:lang w:val="en-US"/>
            </w:rPr>
            <m:t>=5.80-.010D</m:t>
          </m:r>
        </m:oMath>
      </m:oMathPara>
    </w:p>
    <w:p w:rsidR="00D70FAF" w:rsidRDefault="00D70FAF" w:rsidP="00DC6CE2">
      <w:pPr>
        <w:spacing w:after="0" w:line="360" w:lineRule="auto"/>
        <w:jc w:val="both"/>
        <w:rPr>
          <w:rFonts w:ascii="Times New Roman" w:hAnsi="Times New Roman" w:cs="Times New Roman"/>
          <w:sz w:val="24"/>
          <w:szCs w:val="24"/>
          <w:lang w:val="en-US"/>
        </w:rPr>
      </w:pPr>
    </w:p>
    <w:p w:rsidR="00306205" w:rsidRDefault="00D70FAF" w:rsidP="00DC6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a country with an August 22 death rate of 100 per 1m would be expected to experience a </w:t>
      </w:r>
      <w:r w:rsidR="009371DC">
        <w:rPr>
          <w:rFonts w:ascii="Times New Roman" w:hAnsi="Times New Roman" w:cs="Times New Roman"/>
          <w:sz w:val="24"/>
          <w:szCs w:val="24"/>
          <w:lang w:val="en-US"/>
        </w:rPr>
        <w:t>fivefold increase in that rate by 30</w:t>
      </w:r>
      <w:r>
        <w:rPr>
          <w:rFonts w:ascii="Times New Roman" w:hAnsi="Times New Roman" w:cs="Times New Roman"/>
          <w:sz w:val="24"/>
          <w:szCs w:val="24"/>
          <w:lang w:val="en-US"/>
        </w:rPr>
        <w:t xml:space="preserve"> November whilst one wit</w:t>
      </w:r>
      <w:r w:rsidR="009371DC">
        <w:rPr>
          <w:rFonts w:ascii="Times New Roman" w:hAnsi="Times New Roman" w:cs="Times New Roman"/>
          <w:sz w:val="24"/>
          <w:szCs w:val="24"/>
          <w:lang w:val="en-US"/>
        </w:rPr>
        <w:t>h an August 22 death rate of 550</w:t>
      </w:r>
      <w:r>
        <w:rPr>
          <w:rFonts w:ascii="Times New Roman" w:hAnsi="Times New Roman" w:cs="Times New Roman"/>
          <w:sz w:val="24"/>
          <w:szCs w:val="24"/>
          <w:lang w:val="en-US"/>
        </w:rPr>
        <w:t xml:space="preserve"> per 1m would expect to </w:t>
      </w:r>
      <w:r w:rsidR="00411F12">
        <w:rPr>
          <w:rFonts w:ascii="Times New Roman" w:hAnsi="Times New Roman" w:cs="Times New Roman"/>
          <w:sz w:val="24"/>
          <w:szCs w:val="24"/>
          <w:lang w:val="en-US"/>
        </w:rPr>
        <w:t xml:space="preserve">experience </w:t>
      </w:r>
      <w:r w:rsidR="009371DC">
        <w:rPr>
          <w:rFonts w:ascii="Times New Roman" w:hAnsi="Times New Roman" w:cs="Times New Roman"/>
          <w:sz w:val="24"/>
          <w:szCs w:val="24"/>
          <w:lang w:val="en-US"/>
        </w:rPr>
        <w:t>only a 3</w:t>
      </w:r>
      <w:r>
        <w:rPr>
          <w:rFonts w:ascii="Times New Roman" w:hAnsi="Times New Roman" w:cs="Times New Roman"/>
          <w:sz w:val="24"/>
          <w:szCs w:val="24"/>
          <w:lang w:val="en-US"/>
        </w:rPr>
        <w:t xml:space="preserve">0% </w:t>
      </w:r>
      <w:r w:rsidR="00411F12">
        <w:rPr>
          <w:rFonts w:ascii="Times New Roman" w:hAnsi="Times New Roman" w:cs="Times New Roman"/>
          <w:sz w:val="24"/>
          <w:szCs w:val="24"/>
          <w:lang w:val="en-US"/>
        </w:rPr>
        <w:t>increase</w:t>
      </w:r>
      <w:r>
        <w:rPr>
          <w:rFonts w:ascii="Times New Roman" w:hAnsi="Times New Roman" w:cs="Times New Roman"/>
          <w:sz w:val="24"/>
          <w:szCs w:val="24"/>
          <w:lang w:val="en-US"/>
        </w:rPr>
        <w:t xml:space="preserve">.  </w:t>
      </w:r>
      <w:r w:rsidR="006606B3">
        <w:rPr>
          <w:rFonts w:ascii="Times New Roman" w:hAnsi="Times New Roman" w:cs="Times New Roman"/>
          <w:sz w:val="24"/>
          <w:szCs w:val="24"/>
          <w:lang w:val="en-US"/>
        </w:rPr>
        <w:t xml:space="preserve">A plausible explanation for this is that </w:t>
      </w:r>
      <w:r w:rsidR="00A91BB3">
        <w:rPr>
          <w:rFonts w:ascii="Times New Roman" w:hAnsi="Times New Roman" w:cs="Times New Roman"/>
          <w:sz w:val="24"/>
          <w:szCs w:val="24"/>
          <w:lang w:val="en-US"/>
        </w:rPr>
        <w:t>a country’s death rate</w:t>
      </w:r>
      <w:r w:rsidR="00DE6D33">
        <w:rPr>
          <w:rFonts w:ascii="Times New Roman" w:hAnsi="Times New Roman" w:cs="Times New Roman"/>
          <w:sz w:val="24"/>
          <w:szCs w:val="24"/>
          <w:lang w:val="en-US"/>
        </w:rPr>
        <w:t xml:space="preserve"> up to a point in time reflects</w:t>
      </w:r>
      <w:r w:rsidR="00A91BB3">
        <w:rPr>
          <w:rFonts w:ascii="Times New Roman" w:hAnsi="Times New Roman" w:cs="Times New Roman"/>
          <w:sz w:val="24"/>
          <w:szCs w:val="24"/>
          <w:lang w:val="en-US"/>
        </w:rPr>
        <w:t xml:space="preserve"> </w:t>
      </w:r>
      <w:r w:rsidR="00DE6D33">
        <w:rPr>
          <w:rFonts w:ascii="Times New Roman" w:hAnsi="Times New Roman" w:cs="Times New Roman"/>
          <w:sz w:val="24"/>
          <w:szCs w:val="24"/>
          <w:lang w:val="en-US"/>
        </w:rPr>
        <w:t xml:space="preserve">inter alia </w:t>
      </w:r>
      <w:r w:rsidR="006606B3">
        <w:rPr>
          <w:rFonts w:ascii="Times New Roman" w:hAnsi="Times New Roman" w:cs="Times New Roman"/>
          <w:sz w:val="24"/>
          <w:szCs w:val="24"/>
          <w:lang w:val="en-US"/>
        </w:rPr>
        <w:t>the collective actions of individuals and government</w:t>
      </w:r>
      <w:r w:rsidR="004672D2">
        <w:rPr>
          <w:rFonts w:ascii="Times New Roman" w:hAnsi="Times New Roman" w:cs="Times New Roman"/>
          <w:sz w:val="24"/>
          <w:szCs w:val="24"/>
          <w:lang w:val="en-US"/>
        </w:rPr>
        <w:t xml:space="preserve"> (“interventions”)</w:t>
      </w:r>
      <w:r w:rsidR="00736B37">
        <w:rPr>
          <w:rFonts w:ascii="Times New Roman" w:hAnsi="Times New Roman" w:cs="Times New Roman"/>
          <w:sz w:val="24"/>
          <w:szCs w:val="24"/>
          <w:lang w:val="en-US"/>
        </w:rPr>
        <w:t xml:space="preserve"> up till that time</w:t>
      </w:r>
      <w:r w:rsidR="001A44F1">
        <w:rPr>
          <w:rFonts w:ascii="Times New Roman" w:hAnsi="Times New Roman" w:cs="Times New Roman"/>
          <w:sz w:val="24"/>
          <w:szCs w:val="24"/>
          <w:lang w:val="en-US"/>
        </w:rPr>
        <w:t xml:space="preserve">, </w:t>
      </w:r>
      <w:r w:rsidR="006606B3">
        <w:rPr>
          <w:rFonts w:ascii="Times New Roman" w:hAnsi="Times New Roman" w:cs="Times New Roman"/>
          <w:sz w:val="24"/>
          <w:szCs w:val="24"/>
          <w:lang w:val="en-US"/>
        </w:rPr>
        <w:t xml:space="preserve">such </w:t>
      </w:r>
      <w:r w:rsidR="001A44F1">
        <w:rPr>
          <w:rFonts w:ascii="Times New Roman" w:hAnsi="Times New Roman" w:cs="Times New Roman"/>
          <w:sz w:val="24"/>
          <w:szCs w:val="24"/>
          <w:lang w:val="en-US"/>
        </w:rPr>
        <w:t>interventions</w:t>
      </w:r>
      <w:r w:rsidR="006606B3">
        <w:rPr>
          <w:rFonts w:ascii="Times New Roman" w:hAnsi="Times New Roman" w:cs="Times New Roman"/>
          <w:sz w:val="24"/>
          <w:szCs w:val="24"/>
          <w:lang w:val="en-US"/>
        </w:rPr>
        <w:t xml:space="preserve"> cannot be sustained</w:t>
      </w:r>
      <w:r w:rsidR="001A44F1">
        <w:rPr>
          <w:rFonts w:ascii="Times New Roman" w:hAnsi="Times New Roman" w:cs="Times New Roman"/>
          <w:sz w:val="24"/>
          <w:szCs w:val="24"/>
          <w:lang w:val="en-US"/>
        </w:rPr>
        <w:t xml:space="preserve"> at high levels</w:t>
      </w:r>
      <w:r w:rsidR="00A91BB3">
        <w:rPr>
          <w:rFonts w:ascii="Times New Roman" w:hAnsi="Times New Roman" w:cs="Times New Roman"/>
          <w:sz w:val="24"/>
          <w:szCs w:val="24"/>
          <w:lang w:val="en-US"/>
        </w:rPr>
        <w:t xml:space="preserve"> for very long</w:t>
      </w:r>
      <w:r w:rsidR="006606B3">
        <w:rPr>
          <w:rFonts w:ascii="Times New Roman" w:hAnsi="Times New Roman" w:cs="Times New Roman"/>
          <w:sz w:val="24"/>
          <w:szCs w:val="24"/>
          <w:lang w:val="en-US"/>
        </w:rPr>
        <w:t>, and therefore countries with low death rates on 22 August</w:t>
      </w:r>
      <w:r w:rsidR="001A44F1">
        <w:rPr>
          <w:rFonts w:ascii="Times New Roman" w:hAnsi="Times New Roman" w:cs="Times New Roman"/>
          <w:sz w:val="24"/>
          <w:szCs w:val="24"/>
          <w:lang w:val="en-US"/>
        </w:rPr>
        <w:t xml:space="preserve"> (tending to be those with stronger interventions</w:t>
      </w:r>
      <w:r w:rsidR="003431F5">
        <w:rPr>
          <w:rFonts w:ascii="Times New Roman" w:hAnsi="Times New Roman" w:cs="Times New Roman"/>
          <w:sz w:val="24"/>
          <w:szCs w:val="24"/>
          <w:lang w:val="en-US"/>
        </w:rPr>
        <w:t xml:space="preserve"> up to that time</w:t>
      </w:r>
      <w:r w:rsidR="001A44F1">
        <w:rPr>
          <w:rFonts w:ascii="Times New Roman" w:hAnsi="Times New Roman" w:cs="Times New Roman"/>
          <w:sz w:val="24"/>
          <w:szCs w:val="24"/>
          <w:lang w:val="en-US"/>
        </w:rPr>
        <w:t xml:space="preserve">) </w:t>
      </w:r>
      <w:r w:rsidR="00FD0A68">
        <w:rPr>
          <w:rFonts w:ascii="Times New Roman" w:hAnsi="Times New Roman" w:cs="Times New Roman"/>
          <w:sz w:val="24"/>
          <w:szCs w:val="24"/>
          <w:lang w:val="en-US"/>
        </w:rPr>
        <w:t xml:space="preserve">subsequently </w:t>
      </w:r>
      <w:r w:rsidR="001A44F1">
        <w:rPr>
          <w:rFonts w:ascii="Times New Roman" w:hAnsi="Times New Roman" w:cs="Times New Roman"/>
          <w:sz w:val="24"/>
          <w:szCs w:val="24"/>
          <w:lang w:val="en-US"/>
        </w:rPr>
        <w:t>experience</w:t>
      </w:r>
      <w:r w:rsidR="00A91BB3">
        <w:rPr>
          <w:rFonts w:ascii="Times New Roman" w:hAnsi="Times New Roman" w:cs="Times New Roman"/>
          <w:sz w:val="24"/>
          <w:szCs w:val="24"/>
          <w:lang w:val="en-US"/>
        </w:rPr>
        <w:t>d</w:t>
      </w:r>
      <w:r w:rsidR="001A44F1">
        <w:rPr>
          <w:rFonts w:ascii="Times New Roman" w:hAnsi="Times New Roman" w:cs="Times New Roman"/>
          <w:sz w:val="24"/>
          <w:szCs w:val="24"/>
          <w:lang w:val="en-US"/>
        </w:rPr>
        <w:t xml:space="preserve"> higher growth rates in their death rates as their interventions </w:t>
      </w:r>
      <w:r w:rsidR="00A91BB3">
        <w:rPr>
          <w:rFonts w:ascii="Times New Roman" w:hAnsi="Times New Roman" w:cs="Times New Roman"/>
          <w:sz w:val="24"/>
          <w:szCs w:val="24"/>
          <w:lang w:val="en-US"/>
        </w:rPr>
        <w:t xml:space="preserve">were </w:t>
      </w:r>
      <w:r w:rsidR="004672D2">
        <w:rPr>
          <w:rFonts w:ascii="Times New Roman" w:hAnsi="Times New Roman" w:cs="Times New Roman"/>
          <w:sz w:val="24"/>
          <w:szCs w:val="24"/>
          <w:lang w:val="en-US"/>
        </w:rPr>
        <w:t xml:space="preserve">inevitably </w:t>
      </w:r>
      <w:r w:rsidR="001A44F1">
        <w:rPr>
          <w:rFonts w:ascii="Times New Roman" w:hAnsi="Times New Roman" w:cs="Times New Roman"/>
          <w:sz w:val="24"/>
          <w:szCs w:val="24"/>
          <w:lang w:val="en-US"/>
        </w:rPr>
        <w:t>scaled back.</w:t>
      </w:r>
      <w:r w:rsidR="00B04AE1">
        <w:rPr>
          <w:rFonts w:ascii="Times New Roman" w:hAnsi="Times New Roman" w:cs="Times New Roman"/>
          <w:sz w:val="24"/>
          <w:szCs w:val="24"/>
          <w:lang w:val="en-US"/>
        </w:rPr>
        <w:t xml:space="preserve">  This </w:t>
      </w:r>
      <w:r w:rsidR="00E77542">
        <w:rPr>
          <w:rFonts w:ascii="Times New Roman" w:hAnsi="Times New Roman" w:cs="Times New Roman"/>
          <w:sz w:val="24"/>
          <w:szCs w:val="24"/>
          <w:lang w:val="en-US"/>
        </w:rPr>
        <w:t xml:space="preserve">suggests </w:t>
      </w:r>
      <w:r w:rsidR="009B7D37">
        <w:rPr>
          <w:rFonts w:ascii="Times New Roman" w:hAnsi="Times New Roman" w:cs="Times New Roman"/>
          <w:sz w:val="24"/>
          <w:szCs w:val="24"/>
          <w:lang w:val="en-US"/>
        </w:rPr>
        <w:t>that interventions</w:t>
      </w:r>
      <w:r w:rsidR="00B04AE1">
        <w:rPr>
          <w:rFonts w:ascii="Times New Roman" w:hAnsi="Times New Roman" w:cs="Times New Roman"/>
          <w:sz w:val="24"/>
          <w:szCs w:val="24"/>
          <w:lang w:val="en-US"/>
        </w:rPr>
        <w:t xml:space="preserve"> affect only the timing of deaths rather than the number.</w:t>
      </w:r>
      <w:r w:rsidR="0027317B">
        <w:rPr>
          <w:rFonts w:ascii="Times New Roman" w:hAnsi="Times New Roman" w:cs="Times New Roman"/>
          <w:sz w:val="24"/>
          <w:szCs w:val="24"/>
          <w:lang w:val="en-US"/>
        </w:rPr>
        <w:t xml:space="preserve">  This conclusion is not inconsistent with the conclusion that lockdowns do not have a statistically significant effect on the death rate because lockdowns (which are a government action) are only part of the total interventions by individuals and governments.</w:t>
      </w:r>
    </w:p>
    <w:p w:rsidR="00995296" w:rsidRDefault="00995296" w:rsidP="00DC6CE2">
      <w:pPr>
        <w:spacing w:after="0" w:line="360" w:lineRule="auto"/>
        <w:jc w:val="both"/>
        <w:rPr>
          <w:rFonts w:ascii="Times New Roman" w:hAnsi="Times New Roman" w:cs="Times New Roman"/>
          <w:sz w:val="24"/>
          <w:szCs w:val="24"/>
          <w:lang w:val="en-US"/>
        </w:rPr>
      </w:pPr>
    </w:p>
    <w:p w:rsidR="00A23090" w:rsidRDefault="00995296" w:rsidP="00DC6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application of the coefficient on </w:t>
      </w:r>
      <w:r w:rsidRPr="008A1864">
        <w:rPr>
          <w:rFonts w:ascii="Times New Roman" w:hAnsi="Times New Roman" w:cs="Times New Roman"/>
          <w:i/>
          <w:sz w:val="24"/>
          <w:szCs w:val="24"/>
          <w:lang w:val="en-US"/>
        </w:rPr>
        <w:t>S</w:t>
      </w:r>
      <w:r w:rsidR="00EA2F07">
        <w:rPr>
          <w:rFonts w:ascii="Times New Roman" w:hAnsi="Times New Roman" w:cs="Times New Roman"/>
          <w:sz w:val="24"/>
          <w:szCs w:val="24"/>
          <w:lang w:val="en-US"/>
        </w:rPr>
        <w:t xml:space="preserve"> in equations (11), (12) and (13</w:t>
      </w:r>
      <w:r>
        <w:rPr>
          <w:rFonts w:ascii="Times New Roman" w:hAnsi="Times New Roman" w:cs="Times New Roman"/>
          <w:sz w:val="24"/>
          <w:szCs w:val="24"/>
          <w:lang w:val="en-US"/>
        </w:rPr>
        <w:t>) to New Zealand presumes that the same value applies to all countries.  However, New Zealand is in an unusual position, in that the first lockdown seemed to have achieved eradication of community cases, and likewise for the second lockdown.</w:t>
      </w:r>
      <w:r w:rsidR="008A1864">
        <w:rPr>
          <w:rFonts w:ascii="Times New Roman" w:hAnsi="Times New Roman" w:cs="Times New Roman"/>
          <w:sz w:val="24"/>
          <w:szCs w:val="24"/>
          <w:lang w:val="en-US"/>
        </w:rPr>
        <w:t xml:space="preserve">  By contrast, most of the European countries that implemented lockdowns </w:t>
      </w:r>
      <w:r w:rsidR="00A23090">
        <w:rPr>
          <w:rFonts w:ascii="Times New Roman" w:hAnsi="Times New Roman" w:cs="Times New Roman"/>
          <w:sz w:val="24"/>
          <w:szCs w:val="24"/>
          <w:lang w:val="en-US"/>
        </w:rPr>
        <w:t xml:space="preserve">never </w:t>
      </w:r>
      <w:r w:rsidR="008A1864">
        <w:rPr>
          <w:rFonts w:ascii="Times New Roman" w:hAnsi="Times New Roman" w:cs="Times New Roman"/>
          <w:sz w:val="24"/>
          <w:szCs w:val="24"/>
          <w:lang w:val="en-US"/>
        </w:rPr>
        <w:t>seemed to have achieved eradication of community cases, with the result that their death rate</w:t>
      </w:r>
      <w:r w:rsidR="00A23090">
        <w:rPr>
          <w:rFonts w:ascii="Times New Roman" w:hAnsi="Times New Roman" w:cs="Times New Roman"/>
          <w:sz w:val="24"/>
          <w:szCs w:val="24"/>
          <w:lang w:val="en-US"/>
        </w:rPr>
        <w:t xml:space="preserve">s were </w:t>
      </w:r>
      <w:r w:rsidR="008A1864">
        <w:rPr>
          <w:rFonts w:ascii="Times New Roman" w:hAnsi="Times New Roman" w:cs="Times New Roman"/>
          <w:sz w:val="24"/>
          <w:szCs w:val="24"/>
          <w:lang w:val="en-US"/>
        </w:rPr>
        <w:t xml:space="preserve">much higher than New Zealand.  This implies that the estimate of </w:t>
      </w:r>
      <w:r w:rsidR="008A1864" w:rsidRPr="00A23090">
        <w:rPr>
          <w:rFonts w:ascii="Times New Roman" w:hAnsi="Times New Roman" w:cs="Times New Roman"/>
          <w:i/>
          <w:sz w:val="24"/>
          <w:szCs w:val="24"/>
          <w:lang w:val="en-US"/>
        </w:rPr>
        <w:t>S</w:t>
      </w:r>
      <w:r w:rsidR="008A1864">
        <w:rPr>
          <w:rFonts w:ascii="Times New Roman" w:hAnsi="Times New Roman" w:cs="Times New Roman"/>
          <w:sz w:val="24"/>
          <w:szCs w:val="24"/>
          <w:lang w:val="en-US"/>
        </w:rPr>
        <w:t xml:space="preserve"> derived from these countries would underestimate the value for New Zealand.  The extreme underestimation scenario here involves lockdowns </w:t>
      </w:r>
      <w:r w:rsidR="00A23090">
        <w:rPr>
          <w:rFonts w:ascii="Times New Roman" w:hAnsi="Times New Roman" w:cs="Times New Roman"/>
          <w:sz w:val="24"/>
          <w:szCs w:val="24"/>
          <w:lang w:val="en-US"/>
        </w:rPr>
        <w:t xml:space="preserve">by European countries </w:t>
      </w:r>
      <w:r w:rsidR="008A1864">
        <w:rPr>
          <w:rFonts w:ascii="Times New Roman" w:hAnsi="Times New Roman" w:cs="Times New Roman"/>
          <w:sz w:val="24"/>
          <w:szCs w:val="24"/>
          <w:lang w:val="en-US"/>
        </w:rPr>
        <w:t>having no effect upon their death rate</w:t>
      </w:r>
      <w:r w:rsidR="00A23090">
        <w:rPr>
          <w:rFonts w:ascii="Times New Roman" w:hAnsi="Times New Roman" w:cs="Times New Roman"/>
          <w:sz w:val="24"/>
          <w:szCs w:val="24"/>
          <w:lang w:val="en-US"/>
        </w:rPr>
        <w:t>s</w:t>
      </w:r>
      <w:r w:rsidR="008A1864">
        <w:rPr>
          <w:rFonts w:ascii="Times New Roman" w:hAnsi="Times New Roman" w:cs="Times New Roman"/>
          <w:sz w:val="24"/>
          <w:szCs w:val="24"/>
          <w:lang w:val="en-US"/>
        </w:rPr>
        <w:t xml:space="preserve">, consistent with the evidence presented above.  </w:t>
      </w:r>
      <w:r w:rsidR="001E4B6B">
        <w:rPr>
          <w:rFonts w:ascii="Times New Roman" w:hAnsi="Times New Roman" w:cs="Times New Roman"/>
          <w:sz w:val="24"/>
          <w:szCs w:val="24"/>
          <w:lang w:val="en-US"/>
        </w:rPr>
        <w:t xml:space="preserve">In this </w:t>
      </w:r>
      <w:r w:rsidR="00DF71D1">
        <w:rPr>
          <w:rFonts w:ascii="Times New Roman" w:hAnsi="Times New Roman" w:cs="Times New Roman"/>
          <w:sz w:val="24"/>
          <w:szCs w:val="24"/>
          <w:lang w:val="en-US"/>
        </w:rPr>
        <w:t xml:space="preserve">hypothetical </w:t>
      </w:r>
      <w:r w:rsidR="001E4B6B">
        <w:rPr>
          <w:rFonts w:ascii="Times New Roman" w:hAnsi="Times New Roman" w:cs="Times New Roman"/>
          <w:sz w:val="24"/>
          <w:szCs w:val="24"/>
          <w:lang w:val="en-US"/>
        </w:rPr>
        <w:t xml:space="preserve">situation, </w:t>
      </w:r>
      <w:r w:rsidR="008A1864">
        <w:rPr>
          <w:rFonts w:ascii="Times New Roman" w:hAnsi="Times New Roman" w:cs="Times New Roman"/>
          <w:sz w:val="24"/>
          <w:szCs w:val="24"/>
          <w:lang w:val="en-US"/>
        </w:rPr>
        <w:t xml:space="preserve">a different approach </w:t>
      </w:r>
      <w:r w:rsidR="00A23090">
        <w:rPr>
          <w:rFonts w:ascii="Times New Roman" w:hAnsi="Times New Roman" w:cs="Times New Roman"/>
          <w:sz w:val="24"/>
          <w:szCs w:val="24"/>
          <w:lang w:val="en-US"/>
        </w:rPr>
        <w:t xml:space="preserve">would be </w:t>
      </w:r>
      <w:r w:rsidR="008A1864">
        <w:rPr>
          <w:rFonts w:ascii="Times New Roman" w:hAnsi="Times New Roman" w:cs="Times New Roman"/>
          <w:sz w:val="24"/>
          <w:szCs w:val="24"/>
          <w:lang w:val="en-US"/>
        </w:rPr>
        <w:t xml:space="preserve">warranted to estimate the difference in lives lost </w:t>
      </w:r>
      <w:r w:rsidR="00A23090">
        <w:rPr>
          <w:rFonts w:ascii="Times New Roman" w:hAnsi="Times New Roman" w:cs="Times New Roman"/>
          <w:sz w:val="24"/>
          <w:szCs w:val="24"/>
          <w:lang w:val="en-US"/>
        </w:rPr>
        <w:t xml:space="preserve">under lockdown </w:t>
      </w:r>
      <w:r w:rsidR="00B85CA9">
        <w:rPr>
          <w:rFonts w:ascii="Times New Roman" w:hAnsi="Times New Roman" w:cs="Times New Roman"/>
          <w:sz w:val="24"/>
          <w:szCs w:val="24"/>
          <w:lang w:val="en-US"/>
        </w:rPr>
        <w:t>versus m</w:t>
      </w:r>
      <w:r w:rsidR="00A23090">
        <w:rPr>
          <w:rFonts w:ascii="Times New Roman" w:hAnsi="Times New Roman" w:cs="Times New Roman"/>
          <w:sz w:val="24"/>
          <w:szCs w:val="24"/>
          <w:lang w:val="en-US"/>
        </w:rPr>
        <w:t xml:space="preserve">itigation </w:t>
      </w:r>
      <w:r w:rsidR="008A1864">
        <w:rPr>
          <w:rFonts w:ascii="Times New Roman" w:hAnsi="Times New Roman" w:cs="Times New Roman"/>
          <w:sz w:val="24"/>
          <w:szCs w:val="24"/>
          <w:lang w:val="en-US"/>
        </w:rPr>
        <w:t>in New Zealand</w:t>
      </w:r>
      <w:r w:rsidR="00176D58">
        <w:rPr>
          <w:rFonts w:ascii="Times New Roman" w:hAnsi="Times New Roman" w:cs="Times New Roman"/>
          <w:sz w:val="24"/>
          <w:szCs w:val="24"/>
          <w:lang w:val="en-US"/>
        </w:rPr>
        <w:t>.  In respect of lockdown, the death rate to date is 5 per 1m, and this represents a lower bound on the death rate from lockdown in New Zealand</w:t>
      </w:r>
      <w:r w:rsidR="002B2040">
        <w:rPr>
          <w:rFonts w:ascii="Times New Roman" w:hAnsi="Times New Roman" w:cs="Times New Roman"/>
          <w:sz w:val="24"/>
          <w:szCs w:val="24"/>
          <w:lang w:val="en-US"/>
        </w:rPr>
        <w:t xml:space="preserve"> (because more deaths may be to come)</w:t>
      </w:r>
      <w:r w:rsidR="00176D58">
        <w:rPr>
          <w:rFonts w:ascii="Times New Roman" w:hAnsi="Times New Roman" w:cs="Times New Roman"/>
          <w:sz w:val="24"/>
          <w:szCs w:val="24"/>
          <w:lang w:val="en-US"/>
        </w:rPr>
        <w:t xml:space="preserve">.  In respect of mitigation in New Zealand, and on the basis that lockdowns were ineffective in Europe, an estimate of the New Zealand death </w:t>
      </w:r>
      <w:r w:rsidR="0075112A">
        <w:rPr>
          <w:rFonts w:ascii="Times New Roman" w:hAnsi="Times New Roman" w:cs="Times New Roman"/>
          <w:sz w:val="24"/>
          <w:szCs w:val="24"/>
          <w:lang w:val="en-US"/>
        </w:rPr>
        <w:t>rate under mitigation would be the average European death rate, corrected for differences in variables that are statistically significant in explaining the death rate.  For Europe, these are population density and</w:t>
      </w:r>
      <w:r w:rsidR="003804EA">
        <w:rPr>
          <w:rFonts w:ascii="Times New Roman" w:hAnsi="Times New Roman" w:cs="Times New Roman"/>
          <w:sz w:val="24"/>
          <w:szCs w:val="24"/>
          <w:lang w:val="en-US"/>
        </w:rPr>
        <w:t xml:space="preserve"> date of first death</w:t>
      </w:r>
      <w:r w:rsidR="00A23090">
        <w:rPr>
          <w:rFonts w:ascii="Times New Roman" w:hAnsi="Times New Roman" w:cs="Times New Roman"/>
          <w:sz w:val="24"/>
          <w:szCs w:val="24"/>
          <w:lang w:val="en-US"/>
        </w:rPr>
        <w:t>,</w:t>
      </w:r>
      <w:r w:rsidR="003804EA">
        <w:rPr>
          <w:rFonts w:ascii="Times New Roman" w:hAnsi="Times New Roman" w:cs="Times New Roman"/>
          <w:sz w:val="24"/>
          <w:szCs w:val="24"/>
          <w:lang w:val="en-US"/>
        </w:rPr>
        <w:t xml:space="preserve"> and the resulting m</w:t>
      </w:r>
      <w:r w:rsidR="009371DC">
        <w:rPr>
          <w:rFonts w:ascii="Times New Roman" w:hAnsi="Times New Roman" w:cs="Times New Roman"/>
          <w:sz w:val="24"/>
          <w:szCs w:val="24"/>
          <w:lang w:val="en-US"/>
        </w:rPr>
        <w:t>odel using death rate data to 30</w:t>
      </w:r>
      <w:r w:rsidR="003804EA">
        <w:rPr>
          <w:rFonts w:ascii="Times New Roman" w:hAnsi="Times New Roman" w:cs="Times New Roman"/>
          <w:sz w:val="24"/>
          <w:szCs w:val="24"/>
          <w:lang w:val="en-US"/>
        </w:rPr>
        <w:t xml:space="preserve"> November is</w:t>
      </w:r>
    </w:p>
    <w:p w:rsidR="002B2040" w:rsidRDefault="002B2040" w:rsidP="00DC6CE2">
      <w:pPr>
        <w:spacing w:after="0" w:line="360" w:lineRule="auto"/>
        <w:jc w:val="both"/>
        <w:rPr>
          <w:rFonts w:ascii="Times New Roman" w:hAnsi="Times New Roman" w:cs="Times New Roman"/>
          <w:sz w:val="24"/>
          <w:szCs w:val="24"/>
          <w:lang w:val="en-US"/>
        </w:rPr>
      </w:pPr>
    </w:p>
    <w:p w:rsidR="003804EA" w:rsidRDefault="00587DE8" w:rsidP="00DC6CE2">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 xml:space="preserve">                                                       D=663+473PD-11.8FD                                              (14)</m:t>
          </m:r>
        </m:oMath>
      </m:oMathPara>
    </w:p>
    <w:p w:rsidR="003804EA" w:rsidRDefault="003804EA" w:rsidP="00587DE8">
      <w:pPr>
        <w:spacing w:after="0" w:line="360" w:lineRule="auto"/>
        <w:jc w:val="center"/>
        <w:rPr>
          <w:rFonts w:ascii="Times New Roman" w:hAnsi="Times New Roman" w:cs="Times New Roman"/>
          <w:sz w:val="24"/>
          <w:szCs w:val="24"/>
          <w:lang w:val="en-US"/>
        </w:rPr>
      </w:pPr>
    </w:p>
    <w:p w:rsidR="003804EA" w:rsidRDefault="003804EA" w:rsidP="00DC6CE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Substitution of New Zealand’s values for the </w:t>
      </w:r>
      <w:proofErr w:type="spellStart"/>
      <w:r>
        <w:rPr>
          <w:rFonts w:ascii="Times New Roman" w:hAnsi="Times New Roman" w:cs="Times New Roman"/>
          <w:sz w:val="24"/>
          <w:szCs w:val="24"/>
          <w:lang w:val="en-US"/>
        </w:rPr>
        <w:t>regressors</w:t>
      </w:r>
      <w:proofErr w:type="spellEnd"/>
      <w:r>
        <w:rPr>
          <w:rFonts w:ascii="Times New Roman" w:hAnsi="Times New Roman" w:cs="Times New Roman"/>
          <w:sz w:val="24"/>
          <w:szCs w:val="24"/>
          <w:lang w:val="en-US"/>
        </w:rPr>
        <w:t xml:space="preserve">, of </w:t>
      </w:r>
      <w:r w:rsidRPr="00A23090">
        <w:rPr>
          <w:rFonts w:ascii="Times New Roman" w:hAnsi="Times New Roman" w:cs="Times New Roman"/>
          <w:i/>
          <w:sz w:val="24"/>
          <w:szCs w:val="24"/>
          <w:lang w:val="en-US"/>
        </w:rPr>
        <w:t>PD</w:t>
      </w:r>
      <w:r>
        <w:rPr>
          <w:rFonts w:ascii="Times New Roman" w:hAnsi="Times New Roman" w:cs="Times New Roman"/>
          <w:sz w:val="24"/>
          <w:szCs w:val="24"/>
          <w:lang w:val="en-US"/>
        </w:rPr>
        <w:t xml:space="preserve"> = .0485 and </w:t>
      </w:r>
      <w:r w:rsidRPr="00A23090">
        <w:rPr>
          <w:rFonts w:ascii="Times New Roman" w:hAnsi="Times New Roman" w:cs="Times New Roman"/>
          <w:i/>
          <w:sz w:val="24"/>
          <w:szCs w:val="24"/>
          <w:lang w:val="en-US"/>
        </w:rPr>
        <w:t>FD</w:t>
      </w:r>
      <w:r>
        <w:rPr>
          <w:rFonts w:ascii="Times New Roman" w:hAnsi="Times New Roman" w:cs="Times New Roman"/>
          <w:sz w:val="24"/>
          <w:szCs w:val="24"/>
          <w:lang w:val="en-US"/>
        </w:rPr>
        <w:t xml:space="preserve"> = 42, yields an estimated d</w:t>
      </w:r>
      <w:r w:rsidR="006E6F06">
        <w:rPr>
          <w:rFonts w:ascii="Times New Roman" w:hAnsi="Times New Roman" w:cs="Times New Roman"/>
          <w:sz w:val="24"/>
          <w:szCs w:val="24"/>
          <w:lang w:val="en-US"/>
        </w:rPr>
        <w:t>eath rate under mitigation of 144</w:t>
      </w:r>
      <w:r>
        <w:rPr>
          <w:rFonts w:ascii="Times New Roman" w:hAnsi="Times New Roman" w:cs="Times New Roman"/>
          <w:sz w:val="24"/>
          <w:szCs w:val="24"/>
          <w:lang w:val="en-US"/>
        </w:rPr>
        <w:t xml:space="preserve"> per 1m.</w:t>
      </w:r>
      <w:r w:rsidR="00A23090">
        <w:rPr>
          <w:rFonts w:ascii="Times New Roman" w:hAnsi="Times New Roman" w:cs="Times New Roman"/>
          <w:sz w:val="24"/>
          <w:szCs w:val="24"/>
          <w:lang w:val="en-US"/>
        </w:rPr>
        <w:t xml:space="preserve">  </w:t>
      </w:r>
      <w:r w:rsidR="002B2040">
        <w:rPr>
          <w:rFonts w:ascii="Times New Roman" w:hAnsi="Times New Roman" w:cs="Times New Roman"/>
          <w:sz w:val="24"/>
          <w:szCs w:val="24"/>
          <w:lang w:val="en-US"/>
        </w:rPr>
        <w:t>A very conservative estimate would be the upper bound on the 95% CI for this predict</w:t>
      </w:r>
      <w:r w:rsidR="000B06BD">
        <w:rPr>
          <w:rFonts w:ascii="Times New Roman" w:hAnsi="Times New Roman" w:cs="Times New Roman"/>
          <w:sz w:val="24"/>
          <w:szCs w:val="24"/>
          <w:lang w:val="en-US"/>
        </w:rPr>
        <w:t>ion, and this is 317</w:t>
      </w:r>
      <w:r w:rsidR="002B2040">
        <w:rPr>
          <w:rFonts w:ascii="Times New Roman" w:hAnsi="Times New Roman" w:cs="Times New Roman"/>
          <w:sz w:val="24"/>
          <w:szCs w:val="24"/>
          <w:lang w:val="en-US"/>
        </w:rPr>
        <w:t xml:space="preserve"> per 1m.</w:t>
      </w:r>
      <w:r w:rsidR="002B2040">
        <w:rPr>
          <w:rStyle w:val="FootnoteReference"/>
          <w:rFonts w:ascii="Times New Roman" w:hAnsi="Times New Roman" w:cs="Times New Roman"/>
          <w:sz w:val="24"/>
          <w:szCs w:val="24"/>
          <w:lang w:val="en-US"/>
        </w:rPr>
        <w:footnoteReference w:id="37"/>
      </w:r>
      <w:r w:rsidR="002B2040">
        <w:rPr>
          <w:rFonts w:ascii="Times New Roman" w:hAnsi="Times New Roman" w:cs="Times New Roman"/>
          <w:sz w:val="24"/>
          <w:szCs w:val="24"/>
          <w:lang w:val="en-US"/>
        </w:rPr>
        <w:t xml:space="preserve">  </w:t>
      </w:r>
      <w:r w:rsidR="00A23090">
        <w:rPr>
          <w:rFonts w:ascii="Times New Roman" w:hAnsi="Times New Roman" w:cs="Times New Roman"/>
          <w:sz w:val="24"/>
          <w:szCs w:val="24"/>
          <w:lang w:val="en-US"/>
        </w:rPr>
        <w:t xml:space="preserve">Deduction of the </w:t>
      </w:r>
      <w:r w:rsidR="0071185E">
        <w:rPr>
          <w:rFonts w:ascii="Times New Roman" w:hAnsi="Times New Roman" w:cs="Times New Roman"/>
          <w:sz w:val="24"/>
          <w:szCs w:val="24"/>
          <w:lang w:val="en-US"/>
        </w:rPr>
        <w:t xml:space="preserve">actual </w:t>
      </w:r>
      <w:r w:rsidR="00A23090">
        <w:rPr>
          <w:rFonts w:ascii="Times New Roman" w:hAnsi="Times New Roman" w:cs="Times New Roman"/>
          <w:sz w:val="24"/>
          <w:szCs w:val="24"/>
          <w:lang w:val="en-US"/>
        </w:rPr>
        <w:t xml:space="preserve">death rate under lockdown </w:t>
      </w:r>
      <w:r w:rsidR="0071185E">
        <w:rPr>
          <w:rFonts w:ascii="Times New Roman" w:hAnsi="Times New Roman" w:cs="Times New Roman"/>
          <w:sz w:val="24"/>
          <w:szCs w:val="24"/>
          <w:lang w:val="en-US"/>
        </w:rPr>
        <w:t xml:space="preserve">of 5 per 1m </w:t>
      </w:r>
      <w:r w:rsidR="00A23090">
        <w:rPr>
          <w:rFonts w:ascii="Times New Roman" w:hAnsi="Times New Roman" w:cs="Times New Roman"/>
          <w:sz w:val="24"/>
          <w:szCs w:val="24"/>
          <w:lang w:val="en-US"/>
        </w:rPr>
        <w:t>yields a saving in lives from lockdown over mitigation of</w:t>
      </w:r>
      <w:r w:rsidR="002B2040">
        <w:rPr>
          <w:rFonts w:ascii="Times New Roman" w:hAnsi="Times New Roman" w:cs="Times New Roman"/>
          <w:sz w:val="24"/>
          <w:szCs w:val="24"/>
          <w:lang w:val="en-US"/>
        </w:rPr>
        <w:t xml:space="preserve"> </w:t>
      </w:r>
      <w:r w:rsidR="00CE56A3">
        <w:rPr>
          <w:rFonts w:ascii="Times New Roman" w:hAnsi="Times New Roman" w:cs="Times New Roman"/>
          <w:sz w:val="24"/>
          <w:szCs w:val="24"/>
          <w:lang w:val="en-US"/>
        </w:rPr>
        <w:t>312</w:t>
      </w:r>
      <w:r w:rsidR="00A23090">
        <w:rPr>
          <w:rFonts w:ascii="Times New Roman" w:hAnsi="Times New Roman" w:cs="Times New Roman"/>
          <w:sz w:val="24"/>
          <w:szCs w:val="24"/>
          <w:lang w:val="en-US"/>
        </w:rPr>
        <w:t xml:space="preserve"> per 1m</w:t>
      </w:r>
      <w:r w:rsidR="00A53F1E">
        <w:rPr>
          <w:rFonts w:ascii="Times New Roman" w:hAnsi="Times New Roman" w:cs="Times New Roman"/>
          <w:sz w:val="24"/>
          <w:szCs w:val="24"/>
          <w:lang w:val="en-US"/>
        </w:rPr>
        <w:t xml:space="preserve">.  This is </w:t>
      </w:r>
      <w:r w:rsidR="000B06BD">
        <w:rPr>
          <w:rFonts w:ascii="Times New Roman" w:hAnsi="Times New Roman" w:cs="Times New Roman"/>
          <w:sz w:val="24"/>
          <w:szCs w:val="24"/>
          <w:lang w:val="en-US"/>
        </w:rPr>
        <w:t xml:space="preserve">larger than </w:t>
      </w:r>
      <w:r w:rsidR="00A53F1E">
        <w:rPr>
          <w:rFonts w:ascii="Times New Roman" w:hAnsi="Times New Roman" w:cs="Times New Roman"/>
          <w:sz w:val="24"/>
          <w:szCs w:val="24"/>
          <w:lang w:val="en-US"/>
        </w:rPr>
        <w:t xml:space="preserve">the figure of </w:t>
      </w:r>
      <w:r w:rsidR="00E411DB">
        <w:rPr>
          <w:rFonts w:ascii="Times New Roman" w:hAnsi="Times New Roman" w:cs="Times New Roman"/>
          <w:sz w:val="24"/>
          <w:szCs w:val="24"/>
          <w:lang w:val="en-US"/>
        </w:rPr>
        <w:t>269</w:t>
      </w:r>
      <w:r w:rsidR="002369A7">
        <w:rPr>
          <w:rFonts w:ascii="Times New Roman" w:hAnsi="Times New Roman" w:cs="Times New Roman"/>
          <w:sz w:val="24"/>
          <w:szCs w:val="24"/>
          <w:lang w:val="en-US"/>
        </w:rPr>
        <w:t xml:space="preserve"> p</w:t>
      </w:r>
      <w:r w:rsidR="00EA2F07">
        <w:rPr>
          <w:rFonts w:ascii="Times New Roman" w:hAnsi="Times New Roman" w:cs="Times New Roman"/>
          <w:sz w:val="24"/>
          <w:szCs w:val="24"/>
          <w:lang w:val="en-US"/>
        </w:rPr>
        <w:t>er 1m estimated from equation (11</w:t>
      </w:r>
      <w:r w:rsidR="002369A7">
        <w:rPr>
          <w:rFonts w:ascii="Times New Roman" w:hAnsi="Times New Roman" w:cs="Times New Roman"/>
          <w:sz w:val="24"/>
          <w:szCs w:val="24"/>
          <w:lang w:val="en-US"/>
        </w:rPr>
        <w:t>) above</w:t>
      </w:r>
      <w:r w:rsidR="000B06BD">
        <w:rPr>
          <w:rFonts w:ascii="Times New Roman" w:hAnsi="Times New Roman" w:cs="Times New Roman"/>
          <w:sz w:val="24"/>
          <w:szCs w:val="24"/>
          <w:lang w:val="en-US"/>
        </w:rPr>
        <w:t xml:space="preserve">.  </w:t>
      </w:r>
      <w:r w:rsidR="006B05BA">
        <w:rPr>
          <w:rFonts w:ascii="Times New Roman" w:hAnsi="Times New Roman" w:cs="Times New Roman"/>
          <w:sz w:val="24"/>
          <w:szCs w:val="24"/>
          <w:lang w:val="en-US"/>
        </w:rPr>
        <w:t>U</w:t>
      </w:r>
      <w:r w:rsidR="0091649F">
        <w:rPr>
          <w:rFonts w:ascii="Times New Roman" w:hAnsi="Times New Roman" w:cs="Times New Roman"/>
          <w:sz w:val="24"/>
          <w:szCs w:val="24"/>
          <w:lang w:val="en-US"/>
        </w:rPr>
        <w:t>nlike the latter figure of 269</w:t>
      </w:r>
      <w:r w:rsidR="006B05BA">
        <w:rPr>
          <w:rFonts w:ascii="Times New Roman" w:hAnsi="Times New Roman" w:cs="Times New Roman"/>
          <w:sz w:val="24"/>
          <w:szCs w:val="24"/>
          <w:lang w:val="en-US"/>
        </w:rPr>
        <w:t>, the figure of 317 is also growing as more deaths ensue in Europe.  For both reasons, this approach is preferred</w:t>
      </w:r>
      <w:r w:rsidR="0071185E">
        <w:rPr>
          <w:rFonts w:ascii="Times New Roman" w:hAnsi="Times New Roman" w:cs="Times New Roman"/>
          <w:sz w:val="24"/>
          <w:szCs w:val="24"/>
          <w:lang w:val="en-US"/>
        </w:rPr>
        <w:t xml:space="preserve"> so as to be conservative</w:t>
      </w:r>
      <w:r w:rsidR="006B05BA">
        <w:rPr>
          <w:rFonts w:ascii="Times New Roman" w:hAnsi="Times New Roman" w:cs="Times New Roman"/>
          <w:sz w:val="24"/>
          <w:szCs w:val="24"/>
          <w:lang w:val="en-US"/>
        </w:rPr>
        <w:t xml:space="preserve">.  </w:t>
      </w:r>
      <w:r w:rsidR="00FA69ED">
        <w:rPr>
          <w:rFonts w:ascii="Times New Roman" w:hAnsi="Times New Roman" w:cs="Times New Roman"/>
          <w:sz w:val="24"/>
          <w:szCs w:val="24"/>
          <w:lang w:val="en-US"/>
        </w:rPr>
        <w:t xml:space="preserve">Since </w:t>
      </w:r>
      <w:r w:rsidR="00EF62FF">
        <w:rPr>
          <w:rFonts w:ascii="Times New Roman" w:hAnsi="Times New Roman" w:cs="Times New Roman"/>
          <w:sz w:val="24"/>
          <w:szCs w:val="24"/>
          <w:lang w:val="en-US"/>
        </w:rPr>
        <w:t>the figure of 317</w:t>
      </w:r>
      <w:r w:rsidR="006B05BA">
        <w:rPr>
          <w:rFonts w:ascii="Times New Roman" w:hAnsi="Times New Roman" w:cs="Times New Roman"/>
          <w:sz w:val="24"/>
          <w:szCs w:val="24"/>
          <w:lang w:val="en-US"/>
        </w:rPr>
        <w:t xml:space="preserve"> is </w:t>
      </w:r>
      <w:r w:rsidR="00FA69ED">
        <w:rPr>
          <w:rFonts w:ascii="Times New Roman" w:hAnsi="Times New Roman" w:cs="Times New Roman"/>
          <w:sz w:val="24"/>
          <w:szCs w:val="24"/>
          <w:lang w:val="en-US"/>
        </w:rPr>
        <w:t>growing approximately in proportion to the cross-country average death rate in Europe</w:t>
      </w:r>
      <w:r w:rsidR="00580158">
        <w:rPr>
          <w:rFonts w:ascii="Times New Roman" w:hAnsi="Times New Roman" w:cs="Times New Roman"/>
          <w:sz w:val="24"/>
          <w:szCs w:val="24"/>
          <w:lang w:val="en-US"/>
        </w:rPr>
        <w:t xml:space="preserve">, the estimated </w:t>
      </w:r>
      <w:r w:rsidR="006B05BA">
        <w:rPr>
          <w:rFonts w:ascii="Times New Roman" w:hAnsi="Times New Roman" w:cs="Times New Roman"/>
          <w:sz w:val="24"/>
          <w:szCs w:val="24"/>
          <w:lang w:val="en-US"/>
        </w:rPr>
        <w:t xml:space="preserve">reduction in the </w:t>
      </w:r>
      <w:r w:rsidR="00580158">
        <w:rPr>
          <w:rFonts w:ascii="Times New Roman" w:hAnsi="Times New Roman" w:cs="Times New Roman"/>
          <w:sz w:val="24"/>
          <w:szCs w:val="24"/>
          <w:lang w:val="en-US"/>
        </w:rPr>
        <w:t xml:space="preserve">death rate for New Zealand under </w:t>
      </w:r>
      <w:r w:rsidR="006B05BA">
        <w:rPr>
          <w:rFonts w:ascii="Times New Roman" w:hAnsi="Times New Roman" w:cs="Times New Roman"/>
          <w:sz w:val="24"/>
          <w:szCs w:val="24"/>
          <w:lang w:val="en-US"/>
        </w:rPr>
        <w:t>lockdo</w:t>
      </w:r>
      <w:r w:rsidR="00EF62FF">
        <w:rPr>
          <w:rFonts w:ascii="Times New Roman" w:hAnsi="Times New Roman" w:cs="Times New Roman"/>
          <w:sz w:val="24"/>
          <w:szCs w:val="24"/>
          <w:lang w:val="en-US"/>
        </w:rPr>
        <w:t>wn rather than mitigation is 317</w:t>
      </w:r>
      <w:r w:rsidR="006B05BA" w:rsidRPr="00EF62FF">
        <w:rPr>
          <w:rFonts w:ascii="Times New Roman" w:hAnsi="Times New Roman" w:cs="Times New Roman"/>
          <w:i/>
          <w:sz w:val="24"/>
          <w:szCs w:val="24"/>
          <w:lang w:val="en-US"/>
        </w:rPr>
        <w:t>N</w:t>
      </w:r>
      <w:r w:rsidR="006B05BA">
        <w:rPr>
          <w:rFonts w:ascii="Times New Roman" w:hAnsi="Times New Roman" w:cs="Times New Roman"/>
          <w:sz w:val="24"/>
          <w:szCs w:val="24"/>
          <w:lang w:val="en-US"/>
        </w:rPr>
        <w:t xml:space="preserve"> – 5, </w:t>
      </w:r>
      <w:r w:rsidR="00580158">
        <w:rPr>
          <w:rFonts w:ascii="Times New Roman" w:hAnsi="Times New Roman" w:cs="Times New Roman"/>
          <w:sz w:val="24"/>
          <w:szCs w:val="24"/>
          <w:lang w:val="en-US"/>
        </w:rPr>
        <w:t xml:space="preserve">where </w:t>
      </w:r>
      <w:r w:rsidR="00580158" w:rsidRPr="00EC5C87">
        <w:rPr>
          <w:rFonts w:ascii="Times New Roman" w:hAnsi="Times New Roman" w:cs="Times New Roman"/>
          <w:i/>
          <w:sz w:val="24"/>
          <w:szCs w:val="24"/>
          <w:lang w:val="en-US"/>
        </w:rPr>
        <w:t>N</w:t>
      </w:r>
      <w:r w:rsidR="00580158">
        <w:rPr>
          <w:rFonts w:ascii="Times New Roman" w:hAnsi="Times New Roman" w:cs="Times New Roman"/>
          <w:sz w:val="24"/>
          <w:szCs w:val="24"/>
          <w:lang w:val="en-US"/>
        </w:rPr>
        <w:t xml:space="preserve"> is the final cross-country average death rate in Europe as a proportion of the curren</w:t>
      </w:r>
      <w:r w:rsidR="0071185E">
        <w:rPr>
          <w:rFonts w:ascii="Times New Roman" w:hAnsi="Times New Roman" w:cs="Times New Roman"/>
          <w:sz w:val="24"/>
          <w:szCs w:val="24"/>
          <w:lang w:val="en-US"/>
        </w:rPr>
        <w:t xml:space="preserve">t (30 November) rate of </w:t>
      </w:r>
      <w:r w:rsidR="0071185E">
        <w:rPr>
          <w:rFonts w:ascii="Times New Roman" w:hAnsi="Times New Roman" w:cs="Times New Roman"/>
          <w:sz w:val="24"/>
          <w:szCs w:val="24"/>
          <w:lang w:val="en-US"/>
        </w:rPr>
        <w:lastRenderedPageBreak/>
        <w:t>450</w:t>
      </w:r>
      <w:r w:rsidR="00580158">
        <w:rPr>
          <w:rFonts w:ascii="Times New Roman" w:hAnsi="Times New Roman" w:cs="Times New Roman"/>
          <w:sz w:val="24"/>
          <w:szCs w:val="24"/>
          <w:lang w:val="en-US"/>
        </w:rPr>
        <w:t>.  For example, if the final death rate is 1000 per 1m, the estimated death rate for New Zealand under mitigation would be 317(1,000/450)</w:t>
      </w:r>
      <w:r w:rsidR="006B05BA">
        <w:rPr>
          <w:rFonts w:ascii="Times New Roman" w:hAnsi="Times New Roman" w:cs="Times New Roman"/>
          <w:sz w:val="24"/>
          <w:szCs w:val="24"/>
          <w:lang w:val="en-US"/>
        </w:rPr>
        <w:t xml:space="preserve"> - 5</w:t>
      </w:r>
      <w:r w:rsidR="00580158">
        <w:rPr>
          <w:rFonts w:ascii="Times New Roman" w:hAnsi="Times New Roman" w:cs="Times New Roman"/>
          <w:sz w:val="24"/>
          <w:szCs w:val="24"/>
          <w:lang w:val="en-US"/>
        </w:rPr>
        <w:t xml:space="preserve"> = </w:t>
      </w:r>
      <w:r w:rsidR="006B05BA">
        <w:rPr>
          <w:rFonts w:ascii="Times New Roman" w:hAnsi="Times New Roman" w:cs="Times New Roman"/>
          <w:sz w:val="24"/>
          <w:szCs w:val="24"/>
          <w:lang w:val="en-US"/>
        </w:rPr>
        <w:t>700</w:t>
      </w:r>
      <w:r w:rsidR="00580158">
        <w:rPr>
          <w:rFonts w:ascii="Times New Roman" w:hAnsi="Times New Roman" w:cs="Times New Roman"/>
          <w:sz w:val="24"/>
          <w:szCs w:val="24"/>
          <w:lang w:val="en-US"/>
        </w:rPr>
        <w:t xml:space="preserve"> per 1m.</w:t>
      </w:r>
      <w:r w:rsidR="00EF62FF">
        <w:rPr>
          <w:rFonts w:ascii="Times New Roman" w:hAnsi="Times New Roman" w:cs="Times New Roman"/>
          <w:sz w:val="24"/>
          <w:szCs w:val="24"/>
          <w:lang w:val="en-US"/>
        </w:rPr>
        <w:t xml:space="preserve">  This figure is likely to be far too high because the 317 figure is the upper bound on the 95% CI and no further deaths under </w:t>
      </w:r>
      <w:r w:rsidR="00EA2F07">
        <w:rPr>
          <w:rFonts w:ascii="Times New Roman" w:hAnsi="Times New Roman" w:cs="Times New Roman"/>
          <w:sz w:val="24"/>
          <w:szCs w:val="24"/>
          <w:lang w:val="en-US"/>
        </w:rPr>
        <w:t xml:space="preserve">the current </w:t>
      </w:r>
      <w:r w:rsidR="00EF62FF">
        <w:rPr>
          <w:rFonts w:ascii="Times New Roman" w:hAnsi="Times New Roman" w:cs="Times New Roman"/>
          <w:sz w:val="24"/>
          <w:szCs w:val="24"/>
          <w:lang w:val="en-US"/>
        </w:rPr>
        <w:t xml:space="preserve">lockdown </w:t>
      </w:r>
      <w:r w:rsidR="00EA2F07">
        <w:rPr>
          <w:rFonts w:ascii="Times New Roman" w:hAnsi="Times New Roman" w:cs="Times New Roman"/>
          <w:sz w:val="24"/>
          <w:szCs w:val="24"/>
          <w:lang w:val="en-US"/>
        </w:rPr>
        <w:t xml:space="preserve">policy </w:t>
      </w:r>
      <w:r w:rsidR="00EF62FF">
        <w:rPr>
          <w:rFonts w:ascii="Times New Roman" w:hAnsi="Times New Roman" w:cs="Times New Roman"/>
          <w:sz w:val="24"/>
          <w:szCs w:val="24"/>
          <w:lang w:val="en-US"/>
        </w:rPr>
        <w:t>are allowed for.</w:t>
      </w:r>
    </w:p>
    <w:p w:rsidR="0021015E" w:rsidRDefault="0021015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162C2" w:rsidRPr="00E162C2" w:rsidRDefault="00E162C2" w:rsidP="00433A83">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APPENDIX</w:t>
      </w:r>
      <w:r w:rsidR="00804186">
        <w:rPr>
          <w:rFonts w:ascii="Times New Roman" w:hAnsi="Times New Roman" w:cs="Times New Roman"/>
          <w:b/>
          <w:sz w:val="24"/>
          <w:szCs w:val="24"/>
          <w:lang w:val="en-US"/>
        </w:rPr>
        <w:t xml:space="preserve"> 2</w:t>
      </w:r>
    </w:p>
    <w:p w:rsidR="00AD543E" w:rsidRDefault="00AD543E" w:rsidP="00E162C2">
      <w:pPr>
        <w:spacing w:after="0" w:line="240" w:lineRule="auto"/>
        <w:jc w:val="both"/>
        <w:rPr>
          <w:rFonts w:ascii="Times New Roman" w:hAnsi="Times New Roman" w:cs="Times New Roman"/>
          <w:sz w:val="24"/>
          <w:szCs w:val="24"/>
          <w:lang w:val="en-US"/>
        </w:rPr>
      </w:pPr>
    </w:p>
    <w:p w:rsidR="00C366B0" w:rsidRDefault="00C366B0" w:rsidP="00E162C2">
      <w:pPr>
        <w:spacing w:after="0" w:line="240" w:lineRule="auto"/>
        <w:jc w:val="both"/>
        <w:rPr>
          <w:rFonts w:ascii="Times New Roman" w:hAnsi="Times New Roman" w:cs="Times New Roman"/>
          <w:sz w:val="24"/>
          <w:szCs w:val="24"/>
          <w:lang w:val="en-US"/>
        </w:rPr>
      </w:pPr>
    </w:p>
    <w:p w:rsidR="00C366B0" w:rsidRDefault="004703FD" w:rsidP="00C366B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9</w:t>
      </w:r>
      <w:r w:rsidR="00C366B0">
        <w:rPr>
          <w:rFonts w:ascii="Times New Roman" w:hAnsi="Times New Roman" w:cs="Times New Roman"/>
          <w:sz w:val="24"/>
          <w:szCs w:val="24"/>
          <w:lang w:val="en-US"/>
        </w:rPr>
        <w:t xml:space="preserve">: </w:t>
      </w:r>
      <w:r w:rsidR="00B54AAB">
        <w:rPr>
          <w:rFonts w:ascii="Times New Roman" w:hAnsi="Times New Roman" w:cs="Times New Roman"/>
          <w:sz w:val="24"/>
          <w:szCs w:val="24"/>
          <w:lang w:val="en-US"/>
        </w:rPr>
        <w:t xml:space="preserve">Covid-19 </w:t>
      </w:r>
      <w:r w:rsidR="00C366B0">
        <w:rPr>
          <w:rFonts w:ascii="Times New Roman" w:hAnsi="Times New Roman" w:cs="Times New Roman"/>
          <w:sz w:val="24"/>
          <w:szCs w:val="24"/>
          <w:lang w:val="en-US"/>
        </w:rPr>
        <w:t xml:space="preserve">Death Rates </w:t>
      </w:r>
      <w:r w:rsidR="00E47F76">
        <w:rPr>
          <w:rFonts w:ascii="Times New Roman" w:hAnsi="Times New Roman" w:cs="Times New Roman"/>
          <w:sz w:val="24"/>
          <w:szCs w:val="24"/>
          <w:lang w:val="en-US"/>
        </w:rPr>
        <w:t>up to 22/8</w:t>
      </w:r>
      <w:r w:rsidR="005D5EB8">
        <w:rPr>
          <w:rFonts w:ascii="Times New Roman" w:hAnsi="Times New Roman" w:cs="Times New Roman"/>
          <w:sz w:val="24"/>
          <w:szCs w:val="24"/>
          <w:lang w:val="en-US"/>
        </w:rPr>
        <w:t xml:space="preserve"> </w:t>
      </w:r>
      <w:r w:rsidR="004667F1">
        <w:rPr>
          <w:rFonts w:ascii="Times New Roman" w:hAnsi="Times New Roman" w:cs="Times New Roman"/>
          <w:sz w:val="24"/>
          <w:szCs w:val="24"/>
          <w:lang w:val="en-US"/>
        </w:rPr>
        <w:t xml:space="preserve">and Explanatory Factors </w:t>
      </w:r>
      <w:r w:rsidR="00C366B0">
        <w:rPr>
          <w:rFonts w:ascii="Times New Roman" w:hAnsi="Times New Roman" w:cs="Times New Roman"/>
          <w:sz w:val="24"/>
          <w:szCs w:val="24"/>
          <w:lang w:val="en-US"/>
        </w:rPr>
        <w:t>for European Countries</w:t>
      </w:r>
    </w:p>
    <w:p w:rsidR="00C366B0" w:rsidRDefault="00C366B0" w:rsidP="00E162C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5508A1" w:rsidRDefault="004A13A7" w:rsidP="004667F1">
      <w:pPr>
        <w:tabs>
          <w:tab w:val="left" w:pos="2410"/>
          <w:tab w:val="left" w:pos="3969"/>
          <w:tab w:val="left" w:pos="5812"/>
          <w:tab w:val="left" w:pos="7513"/>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Stringency</w:t>
      </w:r>
      <w:r w:rsidR="00FD3B89">
        <w:rPr>
          <w:rFonts w:ascii="Times New Roman" w:hAnsi="Times New Roman" w:cs="Times New Roman"/>
          <w:sz w:val="24"/>
          <w:szCs w:val="24"/>
          <w:lang w:val="en-US"/>
        </w:rPr>
        <w:tab/>
        <w:t>First Death</w:t>
      </w:r>
      <w:r w:rsidR="008F6825">
        <w:rPr>
          <w:rFonts w:ascii="Times New Roman" w:hAnsi="Times New Roman" w:cs="Times New Roman"/>
          <w:sz w:val="24"/>
          <w:szCs w:val="24"/>
          <w:lang w:val="en-US"/>
        </w:rPr>
        <w:tab/>
        <w:t>Density</w:t>
      </w:r>
      <w:r w:rsidR="005508A1">
        <w:rPr>
          <w:rFonts w:ascii="Times New Roman" w:hAnsi="Times New Roman" w:cs="Times New Roman"/>
          <w:sz w:val="24"/>
          <w:szCs w:val="24"/>
          <w:lang w:val="en-US"/>
        </w:rPr>
        <w:tab/>
        <w:t>Death Rate</w:t>
      </w:r>
    </w:p>
    <w:p w:rsidR="005508A1" w:rsidRDefault="005508A1" w:rsidP="00E162C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5508A1" w:rsidRDefault="004A13A7"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Albania</w:t>
      </w:r>
      <w:r>
        <w:rPr>
          <w:rFonts w:ascii="Times New Roman" w:hAnsi="Times New Roman" w:cs="Times New Roman"/>
          <w:sz w:val="24"/>
          <w:szCs w:val="24"/>
          <w:lang w:val="en-US"/>
        </w:rPr>
        <w:tab/>
      </w:r>
      <w:r w:rsidR="005508A1">
        <w:rPr>
          <w:rFonts w:ascii="Times New Roman" w:hAnsi="Times New Roman" w:cs="Times New Roman"/>
          <w:sz w:val="24"/>
          <w:szCs w:val="24"/>
          <w:lang w:val="en-US"/>
        </w:rPr>
        <w:t>90</w:t>
      </w:r>
      <w:r w:rsidR="005508A1">
        <w:rPr>
          <w:rFonts w:ascii="Times New Roman" w:hAnsi="Times New Roman" w:cs="Times New Roman"/>
          <w:sz w:val="24"/>
          <w:szCs w:val="24"/>
          <w:lang w:val="en-US"/>
        </w:rPr>
        <w:tab/>
      </w:r>
      <w:r w:rsidR="00303DE9">
        <w:rPr>
          <w:rFonts w:ascii="Times New Roman" w:hAnsi="Times New Roman" w:cs="Times New Roman"/>
          <w:sz w:val="24"/>
          <w:szCs w:val="24"/>
          <w:lang w:val="en-US"/>
        </w:rPr>
        <w:t>25</w:t>
      </w:r>
      <w:r w:rsidR="00FA24DB">
        <w:rPr>
          <w:rFonts w:ascii="Times New Roman" w:hAnsi="Times New Roman" w:cs="Times New Roman"/>
          <w:sz w:val="24"/>
          <w:szCs w:val="24"/>
          <w:lang w:val="en-US"/>
        </w:rPr>
        <w:tab/>
      </w:r>
      <w:r w:rsidR="00232CF9">
        <w:rPr>
          <w:rFonts w:ascii="Times New Roman" w:hAnsi="Times New Roman" w:cs="Times New Roman"/>
          <w:sz w:val="24"/>
          <w:szCs w:val="24"/>
          <w:lang w:val="en-US"/>
        </w:rPr>
        <w:t>0.26</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sidR="005508A1">
        <w:rPr>
          <w:rFonts w:ascii="Times New Roman" w:hAnsi="Times New Roman" w:cs="Times New Roman"/>
          <w:sz w:val="24"/>
          <w:szCs w:val="24"/>
          <w:lang w:val="en-US"/>
        </w:rPr>
        <w:t>85</w:t>
      </w:r>
    </w:p>
    <w:p w:rsidR="00AD543E" w:rsidRDefault="00167D91"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Austria</w:t>
      </w:r>
      <w:r>
        <w:rPr>
          <w:rFonts w:ascii="Times New Roman" w:hAnsi="Times New Roman" w:cs="Times New Roman"/>
          <w:sz w:val="24"/>
          <w:szCs w:val="24"/>
          <w:lang w:val="en-US"/>
        </w:rPr>
        <w:tab/>
        <w:t>81</w:t>
      </w:r>
      <w:r w:rsidR="00AD543E">
        <w:rPr>
          <w:rFonts w:ascii="Times New Roman" w:hAnsi="Times New Roman" w:cs="Times New Roman"/>
          <w:sz w:val="24"/>
          <w:szCs w:val="24"/>
          <w:lang w:val="en-US"/>
        </w:rPr>
        <w:tab/>
      </w:r>
      <w:r w:rsidR="00303DE9">
        <w:rPr>
          <w:rFonts w:ascii="Times New Roman" w:hAnsi="Times New Roman" w:cs="Times New Roman"/>
          <w:sz w:val="24"/>
          <w:szCs w:val="24"/>
          <w:lang w:val="en-US"/>
        </w:rPr>
        <w:t>26</w:t>
      </w:r>
      <w:r w:rsidR="00FA24DB">
        <w:rPr>
          <w:rFonts w:ascii="Times New Roman" w:hAnsi="Times New Roman" w:cs="Times New Roman"/>
          <w:sz w:val="24"/>
          <w:szCs w:val="24"/>
          <w:lang w:val="en-US"/>
        </w:rPr>
        <w:tab/>
      </w:r>
      <w:r w:rsidR="00366E9A">
        <w:rPr>
          <w:rFonts w:ascii="Times New Roman" w:hAnsi="Times New Roman" w:cs="Times New Roman"/>
          <w:sz w:val="24"/>
          <w:szCs w:val="24"/>
          <w:lang w:val="en-US"/>
        </w:rPr>
        <w:t>0.28</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sidR="00AD543E">
        <w:rPr>
          <w:rFonts w:ascii="Times New Roman" w:hAnsi="Times New Roman" w:cs="Times New Roman"/>
          <w:sz w:val="24"/>
          <w:szCs w:val="24"/>
          <w:lang w:val="en-US"/>
        </w:rPr>
        <w:t>81</w:t>
      </w:r>
    </w:p>
    <w:p w:rsidR="00AD543E" w:rsidRDefault="00AD543E"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Belgium</w:t>
      </w:r>
      <w:r>
        <w:rPr>
          <w:rFonts w:ascii="Times New Roman" w:hAnsi="Times New Roman" w:cs="Times New Roman"/>
          <w:sz w:val="24"/>
          <w:szCs w:val="24"/>
          <w:lang w:val="en-US"/>
        </w:rPr>
        <w:tab/>
        <w:t>81</w:t>
      </w:r>
      <w:r>
        <w:rPr>
          <w:rFonts w:ascii="Times New Roman" w:hAnsi="Times New Roman" w:cs="Times New Roman"/>
          <w:sz w:val="24"/>
          <w:szCs w:val="24"/>
          <w:lang w:val="en-US"/>
        </w:rPr>
        <w:tab/>
      </w:r>
      <w:r w:rsidR="00303DE9">
        <w:rPr>
          <w:rFonts w:ascii="Times New Roman" w:hAnsi="Times New Roman" w:cs="Times New Roman"/>
          <w:sz w:val="24"/>
          <w:szCs w:val="24"/>
          <w:lang w:val="en-US"/>
        </w:rPr>
        <w:t>25</w:t>
      </w:r>
      <w:r w:rsidR="00FA24DB">
        <w:rPr>
          <w:rFonts w:ascii="Times New Roman" w:hAnsi="Times New Roman" w:cs="Times New Roman"/>
          <w:sz w:val="24"/>
          <w:szCs w:val="24"/>
          <w:lang w:val="en-US"/>
        </w:rPr>
        <w:tab/>
      </w:r>
      <w:r w:rsidR="00366E9A">
        <w:rPr>
          <w:rFonts w:ascii="Times New Roman" w:hAnsi="Times New Roman" w:cs="Times New Roman"/>
          <w:sz w:val="24"/>
          <w:szCs w:val="24"/>
          <w:lang w:val="en-US"/>
        </w:rPr>
        <w:t>0.98</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sidR="007D3853">
        <w:rPr>
          <w:rFonts w:ascii="Times New Roman" w:hAnsi="Times New Roman" w:cs="Times New Roman"/>
          <w:sz w:val="24"/>
          <w:szCs w:val="24"/>
          <w:lang w:val="en-US"/>
        </w:rPr>
        <w:t>850</w:t>
      </w:r>
    </w:p>
    <w:p w:rsidR="004E3E7E" w:rsidRDefault="004E3E7E"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Bosnia</w:t>
      </w:r>
      <w:r>
        <w:rPr>
          <w:rFonts w:ascii="Times New Roman" w:hAnsi="Times New Roman" w:cs="Times New Roman"/>
          <w:sz w:val="24"/>
          <w:szCs w:val="24"/>
          <w:lang w:val="en-US"/>
        </w:rPr>
        <w:tab/>
        <w:t>93</w:t>
      </w:r>
      <w:r>
        <w:rPr>
          <w:rFonts w:ascii="Times New Roman" w:hAnsi="Times New Roman" w:cs="Times New Roman"/>
          <w:sz w:val="24"/>
          <w:szCs w:val="24"/>
          <w:lang w:val="en-US"/>
        </w:rPr>
        <w:tab/>
      </w:r>
      <w:r w:rsidR="00303DE9">
        <w:rPr>
          <w:rFonts w:ascii="Times New Roman" w:hAnsi="Times New Roman" w:cs="Times New Roman"/>
          <w:sz w:val="24"/>
          <w:szCs w:val="24"/>
          <w:lang w:val="en-US"/>
        </w:rPr>
        <w:t>35</w:t>
      </w:r>
      <w:r w:rsidR="00FA24DB">
        <w:rPr>
          <w:rFonts w:ascii="Times New Roman" w:hAnsi="Times New Roman" w:cs="Times New Roman"/>
          <w:sz w:val="24"/>
          <w:szCs w:val="24"/>
          <w:lang w:val="en-US"/>
        </w:rPr>
        <w:tab/>
      </w:r>
      <w:r w:rsidR="00232CF9">
        <w:rPr>
          <w:rFonts w:ascii="Times New Roman" w:hAnsi="Times New Roman" w:cs="Times New Roman"/>
          <w:sz w:val="24"/>
          <w:szCs w:val="24"/>
          <w:lang w:val="en-US"/>
        </w:rPr>
        <w:t>0.17</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Pr>
          <w:rFonts w:ascii="Times New Roman" w:hAnsi="Times New Roman" w:cs="Times New Roman"/>
          <w:sz w:val="24"/>
          <w:szCs w:val="24"/>
          <w:lang w:val="en-US"/>
        </w:rPr>
        <w:t>160</w:t>
      </w:r>
    </w:p>
    <w:p w:rsidR="004E3E7E" w:rsidRDefault="004E3E7E"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Bulgaria</w:t>
      </w:r>
      <w:r>
        <w:rPr>
          <w:rFonts w:ascii="Times New Roman" w:hAnsi="Times New Roman" w:cs="Times New Roman"/>
          <w:sz w:val="24"/>
          <w:szCs w:val="24"/>
          <w:lang w:val="en-US"/>
        </w:rPr>
        <w:tab/>
        <w:t>73</w:t>
      </w:r>
      <w:r>
        <w:rPr>
          <w:rFonts w:ascii="Times New Roman" w:hAnsi="Times New Roman" w:cs="Times New Roman"/>
          <w:sz w:val="24"/>
          <w:szCs w:val="24"/>
          <w:lang w:val="en-US"/>
        </w:rPr>
        <w:tab/>
      </w:r>
      <w:r w:rsidR="00303DE9">
        <w:rPr>
          <w:rFonts w:ascii="Times New Roman" w:hAnsi="Times New Roman" w:cs="Times New Roman"/>
          <w:sz w:val="24"/>
          <w:szCs w:val="24"/>
          <w:lang w:val="en-US"/>
        </w:rPr>
        <w:t>25</w:t>
      </w:r>
      <w:r w:rsidR="00FA24DB">
        <w:rPr>
          <w:rFonts w:ascii="Times New Roman" w:hAnsi="Times New Roman" w:cs="Times New Roman"/>
          <w:sz w:val="24"/>
          <w:szCs w:val="24"/>
          <w:lang w:val="en-US"/>
        </w:rPr>
        <w:tab/>
      </w:r>
      <w:r w:rsidR="00366E9A">
        <w:rPr>
          <w:rFonts w:ascii="Times New Roman" w:hAnsi="Times New Roman" w:cs="Times New Roman"/>
          <w:sz w:val="24"/>
          <w:szCs w:val="24"/>
          <w:lang w:val="en-US"/>
        </w:rPr>
        <w:t>0.16</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Pr>
          <w:rFonts w:ascii="Times New Roman" w:hAnsi="Times New Roman" w:cs="Times New Roman"/>
          <w:sz w:val="24"/>
          <w:szCs w:val="24"/>
          <w:lang w:val="en-US"/>
        </w:rPr>
        <w:t>77</w:t>
      </w:r>
    </w:p>
    <w:p w:rsidR="006F28BB" w:rsidRDefault="006F28BB"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Switzerland</w:t>
      </w:r>
      <w:r>
        <w:rPr>
          <w:rFonts w:ascii="Times New Roman" w:hAnsi="Times New Roman" w:cs="Times New Roman"/>
          <w:sz w:val="24"/>
          <w:szCs w:val="24"/>
          <w:lang w:val="en-US"/>
        </w:rPr>
        <w:tab/>
        <w:t>73</w:t>
      </w:r>
      <w:r>
        <w:rPr>
          <w:rFonts w:ascii="Times New Roman" w:hAnsi="Times New Roman" w:cs="Times New Roman"/>
          <w:sz w:val="24"/>
          <w:szCs w:val="24"/>
          <w:lang w:val="en-US"/>
        </w:rPr>
        <w:tab/>
      </w:r>
      <w:r w:rsidR="00303DE9">
        <w:rPr>
          <w:rFonts w:ascii="Times New Roman" w:hAnsi="Times New Roman" w:cs="Times New Roman"/>
          <w:sz w:val="24"/>
          <w:szCs w:val="24"/>
          <w:lang w:val="en-US"/>
        </w:rPr>
        <w:t>19</w:t>
      </w:r>
      <w:r w:rsidR="00FA24DB">
        <w:rPr>
          <w:rFonts w:ascii="Times New Roman" w:hAnsi="Times New Roman" w:cs="Times New Roman"/>
          <w:sz w:val="24"/>
          <w:szCs w:val="24"/>
          <w:lang w:val="en-US"/>
        </w:rPr>
        <w:tab/>
      </w:r>
      <w:r w:rsidR="00366E9A">
        <w:rPr>
          <w:rFonts w:ascii="Times New Roman" w:hAnsi="Times New Roman" w:cs="Times New Roman"/>
          <w:sz w:val="24"/>
          <w:szCs w:val="24"/>
          <w:lang w:val="en-US"/>
        </w:rPr>
        <w:t>0.55</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Pr>
          <w:rFonts w:ascii="Times New Roman" w:hAnsi="Times New Roman" w:cs="Times New Roman"/>
          <w:sz w:val="24"/>
          <w:szCs w:val="24"/>
          <w:lang w:val="en-US"/>
        </w:rPr>
        <w:t>231</w:t>
      </w:r>
    </w:p>
    <w:p w:rsidR="003D5532" w:rsidRDefault="003D5532"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Croatia</w:t>
      </w:r>
      <w:r>
        <w:rPr>
          <w:rFonts w:ascii="Times New Roman" w:hAnsi="Times New Roman" w:cs="Times New Roman"/>
          <w:sz w:val="24"/>
          <w:szCs w:val="24"/>
          <w:lang w:val="en-US"/>
        </w:rPr>
        <w:tab/>
        <w:t>96</w:t>
      </w:r>
      <w:r>
        <w:rPr>
          <w:rFonts w:ascii="Times New Roman" w:hAnsi="Times New Roman" w:cs="Times New Roman"/>
          <w:sz w:val="24"/>
          <w:szCs w:val="24"/>
          <w:lang w:val="en-US"/>
        </w:rPr>
        <w:tab/>
        <w:t>33</w:t>
      </w:r>
      <w:r>
        <w:rPr>
          <w:rFonts w:ascii="Times New Roman" w:hAnsi="Times New Roman" w:cs="Times New Roman"/>
          <w:sz w:val="24"/>
          <w:szCs w:val="24"/>
          <w:lang w:val="en-US"/>
        </w:rPr>
        <w:tab/>
        <w:t>0.19</w:t>
      </w:r>
      <w:r>
        <w:rPr>
          <w:rFonts w:ascii="Times New Roman" w:hAnsi="Times New Roman" w:cs="Times New Roman"/>
          <w:sz w:val="24"/>
          <w:szCs w:val="24"/>
          <w:lang w:val="en-US"/>
        </w:rPr>
        <w:tab/>
      </w:r>
      <w:r>
        <w:rPr>
          <w:rFonts w:ascii="Times New Roman" w:hAnsi="Times New Roman" w:cs="Times New Roman"/>
          <w:sz w:val="24"/>
          <w:szCs w:val="24"/>
          <w:lang w:val="en-US"/>
        </w:rPr>
        <w:tab/>
        <w:t>41</w:t>
      </w:r>
    </w:p>
    <w:p w:rsidR="006F28BB" w:rsidRDefault="00F9124B"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Czech Rep</w:t>
      </w:r>
      <w:r w:rsidR="006F28BB">
        <w:rPr>
          <w:rFonts w:ascii="Times New Roman" w:hAnsi="Times New Roman" w:cs="Times New Roman"/>
          <w:sz w:val="24"/>
          <w:szCs w:val="24"/>
          <w:lang w:val="en-US"/>
        </w:rPr>
        <w:tab/>
        <w:t>82</w:t>
      </w:r>
      <w:r w:rsidR="006F28BB">
        <w:rPr>
          <w:rFonts w:ascii="Times New Roman" w:hAnsi="Times New Roman" w:cs="Times New Roman"/>
          <w:sz w:val="24"/>
          <w:szCs w:val="24"/>
          <w:lang w:val="en-US"/>
        </w:rPr>
        <w:tab/>
      </w:r>
      <w:r w:rsidR="00303DE9">
        <w:rPr>
          <w:rFonts w:ascii="Times New Roman" w:hAnsi="Times New Roman" w:cs="Times New Roman"/>
          <w:sz w:val="24"/>
          <w:szCs w:val="24"/>
          <w:lang w:val="en-US"/>
        </w:rPr>
        <w:t>36</w:t>
      </w:r>
      <w:r w:rsidR="00FA24DB">
        <w:rPr>
          <w:rFonts w:ascii="Times New Roman" w:hAnsi="Times New Roman" w:cs="Times New Roman"/>
          <w:sz w:val="24"/>
          <w:szCs w:val="24"/>
          <w:lang w:val="en-US"/>
        </w:rPr>
        <w:tab/>
      </w:r>
      <w:r w:rsidR="00366E9A">
        <w:rPr>
          <w:rFonts w:ascii="Times New Roman" w:hAnsi="Times New Roman" w:cs="Times New Roman"/>
          <w:sz w:val="24"/>
          <w:szCs w:val="24"/>
          <w:lang w:val="en-US"/>
        </w:rPr>
        <w:t>0.35</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sidR="006F28BB">
        <w:rPr>
          <w:rFonts w:ascii="Times New Roman" w:hAnsi="Times New Roman" w:cs="Times New Roman"/>
          <w:sz w:val="24"/>
          <w:szCs w:val="24"/>
          <w:lang w:val="en-US"/>
        </w:rPr>
        <w:t>38</w:t>
      </w:r>
    </w:p>
    <w:p w:rsidR="005508A1" w:rsidRDefault="005508A1"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Cyprus</w:t>
      </w:r>
      <w:r>
        <w:rPr>
          <w:rFonts w:ascii="Times New Roman" w:hAnsi="Times New Roman" w:cs="Times New Roman"/>
          <w:sz w:val="24"/>
          <w:szCs w:val="24"/>
          <w:lang w:val="en-US"/>
        </w:rPr>
        <w:tab/>
        <w:t>94</w:t>
      </w:r>
      <w:r>
        <w:rPr>
          <w:rFonts w:ascii="Times New Roman" w:hAnsi="Times New Roman" w:cs="Times New Roman"/>
          <w:sz w:val="24"/>
          <w:szCs w:val="24"/>
          <w:lang w:val="en-US"/>
        </w:rPr>
        <w:tab/>
      </w:r>
      <w:r w:rsidR="00303DE9">
        <w:rPr>
          <w:rFonts w:ascii="Times New Roman" w:hAnsi="Times New Roman" w:cs="Times New Roman"/>
          <w:sz w:val="24"/>
          <w:szCs w:val="24"/>
          <w:lang w:val="en-US"/>
        </w:rPr>
        <w:t>35</w:t>
      </w:r>
      <w:r w:rsidR="00FA24DB">
        <w:rPr>
          <w:rFonts w:ascii="Times New Roman" w:hAnsi="Times New Roman" w:cs="Times New Roman"/>
          <w:sz w:val="24"/>
          <w:szCs w:val="24"/>
          <w:lang w:val="en-US"/>
        </w:rPr>
        <w:tab/>
      </w:r>
      <w:r w:rsidR="00232CF9">
        <w:rPr>
          <w:rFonts w:ascii="Times New Roman" w:hAnsi="Times New Roman" w:cs="Times New Roman"/>
          <w:sz w:val="24"/>
          <w:szCs w:val="24"/>
          <w:lang w:val="en-US"/>
        </w:rPr>
        <w:t>0.33</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Pr>
          <w:rFonts w:ascii="Times New Roman" w:hAnsi="Times New Roman" w:cs="Times New Roman"/>
          <w:sz w:val="24"/>
          <w:szCs w:val="24"/>
          <w:lang w:val="en-US"/>
        </w:rPr>
        <w:t>17</w:t>
      </w:r>
    </w:p>
    <w:p w:rsidR="006F28BB" w:rsidRDefault="006F28BB"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Germany</w:t>
      </w:r>
      <w:r>
        <w:rPr>
          <w:rFonts w:ascii="Times New Roman" w:hAnsi="Times New Roman" w:cs="Times New Roman"/>
          <w:sz w:val="24"/>
          <w:szCs w:val="24"/>
          <w:lang w:val="en-US"/>
        </w:rPr>
        <w:tab/>
        <w:t>77</w:t>
      </w:r>
      <w:r>
        <w:rPr>
          <w:rFonts w:ascii="Times New Roman" w:hAnsi="Times New Roman" w:cs="Times New Roman"/>
          <w:sz w:val="24"/>
          <w:szCs w:val="24"/>
          <w:lang w:val="en-US"/>
        </w:rPr>
        <w:tab/>
      </w:r>
      <w:r w:rsidR="00303DE9">
        <w:rPr>
          <w:rFonts w:ascii="Times New Roman" w:hAnsi="Times New Roman" w:cs="Times New Roman"/>
          <w:sz w:val="24"/>
          <w:szCs w:val="24"/>
          <w:lang w:val="en-US"/>
        </w:rPr>
        <w:t>23</w:t>
      </w:r>
      <w:r w:rsidR="00FA24DB">
        <w:rPr>
          <w:rFonts w:ascii="Times New Roman" w:hAnsi="Times New Roman" w:cs="Times New Roman"/>
          <w:sz w:val="24"/>
          <w:szCs w:val="24"/>
          <w:lang w:val="en-US"/>
        </w:rPr>
        <w:tab/>
      </w:r>
      <w:r w:rsidR="00366E9A">
        <w:rPr>
          <w:rFonts w:ascii="Times New Roman" w:hAnsi="Times New Roman" w:cs="Times New Roman"/>
          <w:sz w:val="24"/>
          <w:szCs w:val="24"/>
          <w:lang w:val="en-US"/>
        </w:rPr>
        <w:t>0.61</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Pr>
          <w:rFonts w:ascii="Times New Roman" w:hAnsi="Times New Roman" w:cs="Times New Roman"/>
          <w:sz w:val="24"/>
          <w:szCs w:val="24"/>
          <w:lang w:val="en-US"/>
        </w:rPr>
        <w:t>111</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Denmark</w:t>
      </w:r>
      <w:r>
        <w:rPr>
          <w:rFonts w:ascii="Times New Roman" w:hAnsi="Times New Roman" w:cs="Times New Roman"/>
          <w:sz w:val="24"/>
          <w:szCs w:val="24"/>
          <w:lang w:val="en-US"/>
        </w:rPr>
        <w:tab/>
        <w:t>72</w:t>
      </w:r>
      <w:r>
        <w:rPr>
          <w:rFonts w:ascii="Times New Roman" w:hAnsi="Times New Roman" w:cs="Times New Roman"/>
          <w:sz w:val="24"/>
          <w:szCs w:val="24"/>
          <w:lang w:val="en-US"/>
        </w:rPr>
        <w:tab/>
      </w:r>
      <w:r w:rsidR="00303DE9">
        <w:rPr>
          <w:rFonts w:ascii="Times New Roman" w:hAnsi="Times New Roman" w:cs="Times New Roman"/>
          <w:sz w:val="24"/>
          <w:szCs w:val="24"/>
          <w:lang w:val="en-US"/>
        </w:rPr>
        <w:t>28</w:t>
      </w:r>
      <w:r w:rsidR="00FA24DB">
        <w:rPr>
          <w:rFonts w:ascii="Times New Roman" w:hAnsi="Times New Roman" w:cs="Times New Roman"/>
          <w:sz w:val="24"/>
          <w:szCs w:val="24"/>
          <w:lang w:val="en-US"/>
        </w:rPr>
        <w:tab/>
      </w:r>
      <w:r w:rsidR="00366E9A">
        <w:rPr>
          <w:rFonts w:ascii="Times New Roman" w:hAnsi="Times New Roman" w:cs="Times New Roman"/>
          <w:sz w:val="24"/>
          <w:szCs w:val="24"/>
          <w:lang w:val="en-US"/>
        </w:rPr>
        <w:t>0.35</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Pr>
          <w:rFonts w:ascii="Times New Roman" w:hAnsi="Times New Roman" w:cs="Times New Roman"/>
          <w:sz w:val="24"/>
          <w:szCs w:val="24"/>
          <w:lang w:val="en-US"/>
        </w:rPr>
        <w:t>107</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Spain</w:t>
      </w:r>
      <w:r>
        <w:rPr>
          <w:rFonts w:ascii="Times New Roman" w:hAnsi="Times New Roman" w:cs="Times New Roman"/>
          <w:sz w:val="24"/>
          <w:szCs w:val="24"/>
          <w:lang w:val="en-US"/>
        </w:rPr>
        <w:tab/>
        <w:t>85</w:t>
      </w:r>
      <w:r>
        <w:rPr>
          <w:rFonts w:ascii="Times New Roman" w:hAnsi="Times New Roman" w:cs="Times New Roman"/>
          <w:sz w:val="24"/>
          <w:szCs w:val="24"/>
          <w:lang w:val="en-US"/>
        </w:rPr>
        <w:tab/>
      </w:r>
      <w:r w:rsidR="00303DE9">
        <w:rPr>
          <w:rFonts w:ascii="Times New Roman" w:hAnsi="Times New Roman" w:cs="Times New Roman"/>
          <w:sz w:val="24"/>
          <w:szCs w:val="24"/>
          <w:lang w:val="en-US"/>
        </w:rPr>
        <w:t>17</w:t>
      </w:r>
      <w:r w:rsidR="00FA24DB">
        <w:rPr>
          <w:rFonts w:ascii="Times New Roman" w:hAnsi="Times New Roman" w:cs="Times New Roman"/>
          <w:sz w:val="24"/>
          <w:szCs w:val="24"/>
          <w:lang w:val="en-US"/>
        </w:rPr>
        <w:tab/>
      </w:r>
      <w:r w:rsidR="00366E9A">
        <w:rPr>
          <w:rFonts w:ascii="Times New Roman" w:hAnsi="Times New Roman" w:cs="Times New Roman"/>
          <w:sz w:val="24"/>
          <w:szCs w:val="24"/>
          <w:lang w:val="en-US"/>
        </w:rPr>
        <w:t>0.24</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Pr>
          <w:rFonts w:ascii="Times New Roman" w:hAnsi="Times New Roman" w:cs="Times New Roman"/>
          <w:sz w:val="24"/>
          <w:szCs w:val="24"/>
          <w:lang w:val="en-US"/>
        </w:rPr>
        <w:t>617</w:t>
      </w:r>
    </w:p>
    <w:p w:rsidR="00DF7074" w:rsidRDefault="007D3853"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Estonia</w:t>
      </w:r>
      <w:r>
        <w:rPr>
          <w:rFonts w:ascii="Times New Roman" w:hAnsi="Times New Roman" w:cs="Times New Roman"/>
          <w:sz w:val="24"/>
          <w:szCs w:val="24"/>
          <w:lang w:val="en-US"/>
        </w:rPr>
        <w:tab/>
        <w:t>78</w:t>
      </w:r>
      <w:r w:rsidR="00DF7074">
        <w:rPr>
          <w:rFonts w:ascii="Times New Roman" w:hAnsi="Times New Roman" w:cs="Times New Roman"/>
          <w:sz w:val="24"/>
          <w:szCs w:val="24"/>
          <w:lang w:val="en-US"/>
        </w:rPr>
        <w:tab/>
      </w:r>
      <w:r w:rsidR="00303DE9">
        <w:rPr>
          <w:rFonts w:ascii="Times New Roman" w:hAnsi="Times New Roman" w:cs="Times New Roman"/>
          <w:sz w:val="24"/>
          <w:szCs w:val="24"/>
          <w:lang w:val="en-US"/>
        </w:rPr>
        <w:t>39</w:t>
      </w:r>
      <w:r w:rsidR="00FA24DB">
        <w:rPr>
          <w:rFonts w:ascii="Times New Roman" w:hAnsi="Times New Roman" w:cs="Times New Roman"/>
          <w:sz w:val="24"/>
          <w:szCs w:val="24"/>
          <w:lang w:val="en-US"/>
        </w:rPr>
        <w:tab/>
      </w:r>
      <w:r w:rsidR="00366E9A">
        <w:rPr>
          <w:rFonts w:ascii="Times New Roman" w:hAnsi="Times New Roman" w:cs="Times New Roman"/>
          <w:sz w:val="24"/>
          <w:szCs w:val="24"/>
          <w:lang w:val="en-US"/>
        </w:rPr>
        <w:t>0.07</w:t>
      </w:r>
      <w:r w:rsidR="00FA24DB">
        <w:rPr>
          <w:rFonts w:ascii="Times New Roman" w:hAnsi="Times New Roman" w:cs="Times New Roman"/>
          <w:sz w:val="24"/>
          <w:szCs w:val="24"/>
          <w:lang w:val="en-US"/>
        </w:rPr>
        <w:tab/>
      </w:r>
      <w:r w:rsidR="00FA24DB">
        <w:rPr>
          <w:rFonts w:ascii="Times New Roman" w:hAnsi="Times New Roman" w:cs="Times New Roman"/>
          <w:sz w:val="24"/>
          <w:szCs w:val="24"/>
          <w:lang w:val="en-US"/>
        </w:rPr>
        <w:tab/>
      </w:r>
      <w:r w:rsidR="00DF7074">
        <w:rPr>
          <w:rFonts w:ascii="Times New Roman" w:hAnsi="Times New Roman" w:cs="Times New Roman"/>
          <w:sz w:val="24"/>
          <w:szCs w:val="24"/>
          <w:lang w:val="en-US"/>
        </w:rPr>
        <w:t>47</w:t>
      </w:r>
    </w:p>
    <w:p w:rsidR="00DF7074" w:rsidRDefault="00167D91"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Finland</w:t>
      </w:r>
      <w:r>
        <w:rPr>
          <w:rFonts w:ascii="Times New Roman" w:hAnsi="Times New Roman" w:cs="Times New Roman"/>
          <w:sz w:val="24"/>
          <w:szCs w:val="24"/>
          <w:lang w:val="en-US"/>
        </w:rPr>
        <w:tab/>
        <w:t>68</w:t>
      </w:r>
      <w:r w:rsidR="00DF7074">
        <w:rPr>
          <w:rFonts w:ascii="Times New Roman" w:hAnsi="Times New Roman" w:cs="Times New Roman"/>
          <w:sz w:val="24"/>
          <w:szCs w:val="24"/>
          <w:lang w:val="en-US"/>
        </w:rPr>
        <w:tab/>
      </w:r>
      <w:r w:rsidR="00303DE9">
        <w:rPr>
          <w:rFonts w:ascii="Times New Roman" w:hAnsi="Times New Roman" w:cs="Times New Roman"/>
          <w:sz w:val="24"/>
          <w:szCs w:val="24"/>
          <w:lang w:val="en-US"/>
        </w:rPr>
        <w:t>35</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0.04</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sidR="00DF7074">
        <w:rPr>
          <w:rFonts w:ascii="Times New Roman" w:hAnsi="Times New Roman" w:cs="Times New Roman"/>
          <w:sz w:val="24"/>
          <w:szCs w:val="24"/>
          <w:lang w:val="en-US"/>
        </w:rPr>
        <w:t>60</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France</w:t>
      </w:r>
      <w:r>
        <w:rPr>
          <w:rFonts w:ascii="Times New Roman" w:hAnsi="Times New Roman" w:cs="Times New Roman"/>
          <w:sz w:val="24"/>
          <w:szCs w:val="24"/>
          <w:lang w:val="en-US"/>
        </w:rPr>
        <w:tab/>
        <w:t>88</w:t>
      </w:r>
      <w:r>
        <w:rPr>
          <w:rFonts w:ascii="Times New Roman" w:hAnsi="Times New Roman" w:cs="Times New Roman"/>
          <w:sz w:val="24"/>
          <w:szCs w:val="24"/>
          <w:lang w:val="en-US"/>
        </w:rPr>
        <w:tab/>
      </w:r>
      <w:r w:rsidR="00303DE9">
        <w:rPr>
          <w:rFonts w:ascii="Times New Roman" w:hAnsi="Times New Roman" w:cs="Times New Roman"/>
          <w:sz w:val="24"/>
          <w:szCs w:val="24"/>
          <w:lang w:val="en-US"/>
        </w:rPr>
        <w:t>1</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0.31</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467</w:t>
      </w:r>
    </w:p>
    <w:p w:rsidR="00DF7074" w:rsidRDefault="007D3853"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UK</w:t>
      </w:r>
      <w:r>
        <w:rPr>
          <w:rFonts w:ascii="Times New Roman" w:hAnsi="Times New Roman" w:cs="Times New Roman"/>
          <w:sz w:val="24"/>
          <w:szCs w:val="24"/>
          <w:lang w:val="en-US"/>
        </w:rPr>
        <w:tab/>
        <w:t>80</w:t>
      </w:r>
      <w:r w:rsidR="00DF7074">
        <w:rPr>
          <w:rFonts w:ascii="Times New Roman" w:hAnsi="Times New Roman" w:cs="Times New Roman"/>
          <w:sz w:val="24"/>
          <w:szCs w:val="24"/>
          <w:lang w:val="en-US"/>
        </w:rPr>
        <w:tab/>
      </w:r>
      <w:r w:rsidR="00303DE9">
        <w:rPr>
          <w:rFonts w:ascii="Times New Roman" w:hAnsi="Times New Roman" w:cs="Times New Roman"/>
          <w:sz w:val="24"/>
          <w:szCs w:val="24"/>
          <w:lang w:val="en-US"/>
        </w:rPr>
        <w:t>19</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0.73</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sidR="00DF7074">
        <w:rPr>
          <w:rFonts w:ascii="Times New Roman" w:hAnsi="Times New Roman" w:cs="Times New Roman"/>
          <w:sz w:val="24"/>
          <w:szCs w:val="24"/>
          <w:lang w:val="en-US"/>
        </w:rPr>
        <w:t>609</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Greece</w:t>
      </w:r>
      <w:r>
        <w:rPr>
          <w:rFonts w:ascii="Times New Roman" w:hAnsi="Times New Roman" w:cs="Times New Roman"/>
          <w:sz w:val="24"/>
          <w:szCs w:val="24"/>
          <w:lang w:val="en-US"/>
        </w:rPr>
        <w:tab/>
        <w:t>84</w:t>
      </w:r>
      <w:r>
        <w:rPr>
          <w:rFonts w:ascii="Times New Roman" w:hAnsi="Times New Roman" w:cs="Times New Roman"/>
          <w:sz w:val="24"/>
          <w:szCs w:val="24"/>
          <w:lang w:val="en-US"/>
        </w:rPr>
        <w:tab/>
      </w:r>
      <w:r w:rsidR="00303DE9">
        <w:rPr>
          <w:rFonts w:ascii="Times New Roman" w:hAnsi="Times New Roman" w:cs="Times New Roman"/>
          <w:sz w:val="24"/>
          <w:szCs w:val="24"/>
          <w:lang w:val="en-US"/>
        </w:rPr>
        <w:t>26</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0.20</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23</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Hungary</w:t>
      </w:r>
      <w:r>
        <w:rPr>
          <w:rFonts w:ascii="Times New Roman" w:hAnsi="Times New Roman" w:cs="Times New Roman"/>
          <w:sz w:val="24"/>
          <w:szCs w:val="24"/>
          <w:lang w:val="en-US"/>
        </w:rPr>
        <w:tab/>
        <w:t>77</w:t>
      </w:r>
      <w:r>
        <w:rPr>
          <w:rFonts w:ascii="Times New Roman" w:hAnsi="Times New Roman" w:cs="Times New Roman"/>
          <w:sz w:val="24"/>
          <w:szCs w:val="24"/>
          <w:lang w:val="en-US"/>
        </w:rPr>
        <w:tab/>
      </w:r>
      <w:r w:rsidR="00303DE9">
        <w:rPr>
          <w:rFonts w:ascii="Times New Roman" w:hAnsi="Times New Roman" w:cs="Times New Roman"/>
          <w:sz w:val="24"/>
          <w:szCs w:val="24"/>
          <w:lang w:val="en-US"/>
        </w:rPr>
        <w:t>29</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0.27</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63</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Ireland</w:t>
      </w:r>
      <w:r>
        <w:rPr>
          <w:rFonts w:ascii="Times New Roman" w:hAnsi="Times New Roman" w:cs="Times New Roman"/>
          <w:sz w:val="24"/>
          <w:szCs w:val="24"/>
          <w:lang w:val="en-US"/>
        </w:rPr>
        <w:tab/>
        <w:t>91</w:t>
      </w:r>
      <w:r>
        <w:rPr>
          <w:rFonts w:ascii="Times New Roman" w:hAnsi="Times New Roman" w:cs="Times New Roman"/>
          <w:sz w:val="24"/>
          <w:szCs w:val="24"/>
          <w:lang w:val="en-US"/>
        </w:rPr>
        <w:tab/>
      </w:r>
      <w:r w:rsidR="00303DE9">
        <w:rPr>
          <w:rFonts w:ascii="Times New Roman" w:hAnsi="Times New Roman" w:cs="Times New Roman"/>
          <w:sz w:val="24"/>
          <w:szCs w:val="24"/>
          <w:lang w:val="en-US"/>
        </w:rPr>
        <w:t>25</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0.18</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359</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Iceland</w:t>
      </w:r>
      <w:r>
        <w:rPr>
          <w:rFonts w:ascii="Times New Roman" w:hAnsi="Times New Roman" w:cs="Times New Roman"/>
          <w:sz w:val="24"/>
          <w:szCs w:val="24"/>
          <w:lang w:val="en-US"/>
        </w:rPr>
        <w:tab/>
        <w:t>54</w:t>
      </w:r>
      <w:r>
        <w:rPr>
          <w:rFonts w:ascii="Times New Roman" w:hAnsi="Times New Roman" w:cs="Times New Roman"/>
          <w:sz w:val="24"/>
          <w:szCs w:val="24"/>
          <w:lang w:val="en-US"/>
        </w:rPr>
        <w:tab/>
      </w:r>
      <w:r w:rsidR="00303DE9">
        <w:rPr>
          <w:rFonts w:ascii="Times New Roman" w:hAnsi="Times New Roman" w:cs="Times New Roman"/>
          <w:sz w:val="24"/>
          <w:szCs w:val="24"/>
          <w:lang w:val="en-US"/>
        </w:rPr>
        <w:t>35</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0.008</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29</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Italy</w:t>
      </w:r>
      <w:r>
        <w:rPr>
          <w:rFonts w:ascii="Times New Roman" w:hAnsi="Times New Roman" w:cs="Times New Roman"/>
          <w:sz w:val="24"/>
          <w:szCs w:val="24"/>
          <w:lang w:val="en-US"/>
        </w:rPr>
        <w:tab/>
        <w:t>94</w:t>
      </w:r>
      <w:r>
        <w:rPr>
          <w:rFonts w:ascii="Times New Roman" w:hAnsi="Times New Roman" w:cs="Times New Roman"/>
          <w:sz w:val="24"/>
          <w:szCs w:val="24"/>
          <w:lang w:val="en-US"/>
        </w:rPr>
        <w:tab/>
      </w:r>
      <w:r w:rsidR="00303DE9">
        <w:rPr>
          <w:rFonts w:ascii="Times New Roman" w:hAnsi="Times New Roman" w:cs="Times New Roman"/>
          <w:sz w:val="24"/>
          <w:szCs w:val="24"/>
          <w:lang w:val="en-US"/>
        </w:rPr>
        <w:t>7</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0.52</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586</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Lithuania</w:t>
      </w:r>
      <w:r>
        <w:rPr>
          <w:rFonts w:ascii="Times New Roman" w:hAnsi="Times New Roman" w:cs="Times New Roman"/>
          <w:sz w:val="24"/>
          <w:szCs w:val="24"/>
          <w:lang w:val="en-US"/>
        </w:rPr>
        <w:tab/>
        <w:t>87</w:t>
      </w:r>
      <w:r>
        <w:rPr>
          <w:rFonts w:ascii="Times New Roman" w:hAnsi="Times New Roman" w:cs="Times New Roman"/>
          <w:sz w:val="24"/>
          <w:szCs w:val="24"/>
          <w:lang w:val="en-US"/>
        </w:rPr>
        <w:tab/>
      </w:r>
      <w:r w:rsidR="00303DE9">
        <w:rPr>
          <w:rFonts w:ascii="Times New Roman" w:hAnsi="Times New Roman" w:cs="Times New Roman"/>
          <w:sz w:val="24"/>
          <w:szCs w:val="24"/>
          <w:lang w:val="en-US"/>
        </w:rPr>
        <w:t>34</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0.11</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31</w:t>
      </w:r>
    </w:p>
    <w:p w:rsidR="00DF7074" w:rsidRDefault="00DF7074"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Luxembourg</w:t>
      </w:r>
      <w:r>
        <w:rPr>
          <w:rFonts w:ascii="Times New Roman" w:hAnsi="Times New Roman" w:cs="Times New Roman"/>
          <w:sz w:val="24"/>
          <w:szCs w:val="24"/>
          <w:lang w:val="en-US"/>
        </w:rPr>
        <w:tab/>
        <w:t>80</w:t>
      </w:r>
      <w:r>
        <w:rPr>
          <w:rFonts w:ascii="Times New Roman" w:hAnsi="Times New Roman" w:cs="Times New Roman"/>
          <w:sz w:val="24"/>
          <w:szCs w:val="24"/>
          <w:lang w:val="en-US"/>
        </w:rPr>
        <w:tab/>
      </w:r>
      <w:r w:rsidR="00303DE9">
        <w:rPr>
          <w:rFonts w:ascii="Times New Roman" w:hAnsi="Times New Roman" w:cs="Times New Roman"/>
          <w:sz w:val="24"/>
          <w:szCs w:val="24"/>
          <w:lang w:val="en-US"/>
        </w:rPr>
        <w:t>27</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0.06</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198</w:t>
      </w:r>
    </w:p>
    <w:p w:rsidR="00DF7074" w:rsidRDefault="00167D91"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Latvia</w:t>
      </w:r>
      <w:r>
        <w:rPr>
          <w:rFonts w:ascii="Times New Roman" w:hAnsi="Times New Roman" w:cs="Times New Roman"/>
          <w:sz w:val="24"/>
          <w:szCs w:val="24"/>
          <w:lang w:val="en-US"/>
        </w:rPr>
        <w:tab/>
        <w:t>69</w:t>
      </w:r>
      <w:r w:rsidR="00DF7074">
        <w:rPr>
          <w:rFonts w:ascii="Times New Roman" w:hAnsi="Times New Roman" w:cs="Times New Roman"/>
          <w:sz w:val="24"/>
          <w:szCs w:val="24"/>
          <w:lang w:val="en-US"/>
        </w:rPr>
        <w:tab/>
      </w:r>
      <w:r w:rsidR="00303DE9">
        <w:rPr>
          <w:rFonts w:ascii="Times New Roman" w:hAnsi="Times New Roman" w:cs="Times New Roman"/>
          <w:sz w:val="24"/>
          <w:szCs w:val="24"/>
          <w:lang w:val="en-US"/>
        </w:rPr>
        <w:t>48</w:t>
      </w:r>
      <w:r w:rsidR="004A13A7">
        <w:rPr>
          <w:rFonts w:ascii="Times New Roman" w:hAnsi="Times New Roman" w:cs="Times New Roman"/>
          <w:sz w:val="24"/>
          <w:szCs w:val="24"/>
          <w:lang w:val="en-US"/>
        </w:rPr>
        <w:tab/>
      </w:r>
      <w:r w:rsidR="00366E9A">
        <w:rPr>
          <w:rFonts w:ascii="Times New Roman" w:hAnsi="Times New Roman" w:cs="Times New Roman"/>
          <w:sz w:val="24"/>
          <w:szCs w:val="24"/>
          <w:lang w:val="en-US"/>
        </w:rPr>
        <w:t>0.08</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sidR="00DF7074">
        <w:rPr>
          <w:rFonts w:ascii="Times New Roman" w:hAnsi="Times New Roman" w:cs="Times New Roman"/>
          <w:sz w:val="24"/>
          <w:szCs w:val="24"/>
          <w:lang w:val="en-US"/>
        </w:rPr>
        <w:t>18</w:t>
      </w:r>
    </w:p>
    <w:p w:rsidR="00210222" w:rsidRDefault="00210222"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Netherlands</w:t>
      </w:r>
      <w:r>
        <w:rPr>
          <w:rFonts w:ascii="Times New Roman" w:hAnsi="Times New Roman" w:cs="Times New Roman"/>
          <w:sz w:val="24"/>
          <w:szCs w:val="24"/>
          <w:lang w:val="en-US"/>
        </w:rPr>
        <w:tab/>
        <w:t>80</w:t>
      </w:r>
      <w:r>
        <w:rPr>
          <w:rFonts w:ascii="Times New Roman" w:hAnsi="Times New Roman" w:cs="Times New Roman"/>
          <w:sz w:val="24"/>
          <w:szCs w:val="24"/>
          <w:lang w:val="en-US"/>
        </w:rPr>
        <w:tab/>
      </w:r>
      <w:r w:rsidR="00303DE9">
        <w:rPr>
          <w:rFonts w:ascii="Times New Roman" w:hAnsi="Times New Roman" w:cs="Times New Roman"/>
          <w:sz w:val="24"/>
          <w:szCs w:val="24"/>
          <w:lang w:val="en-US"/>
        </w:rPr>
        <w:t>20</w:t>
      </w:r>
      <w:r w:rsidR="004A13A7">
        <w:rPr>
          <w:rFonts w:ascii="Times New Roman" w:hAnsi="Times New Roman" w:cs="Times New Roman"/>
          <w:sz w:val="24"/>
          <w:szCs w:val="24"/>
          <w:lang w:val="en-US"/>
        </w:rPr>
        <w:tab/>
      </w:r>
      <w:r w:rsidR="00232CF9">
        <w:rPr>
          <w:rFonts w:ascii="Times New Roman" w:hAnsi="Times New Roman" w:cs="Times New Roman"/>
          <w:sz w:val="24"/>
          <w:szCs w:val="24"/>
          <w:lang w:val="en-US"/>
        </w:rPr>
        <w:t>1.06</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361</w:t>
      </w:r>
    </w:p>
    <w:p w:rsidR="00210222" w:rsidRDefault="00210222"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Norway</w:t>
      </w:r>
      <w:r>
        <w:rPr>
          <w:rFonts w:ascii="Times New Roman" w:hAnsi="Times New Roman" w:cs="Times New Roman"/>
          <w:sz w:val="24"/>
          <w:szCs w:val="24"/>
          <w:lang w:val="en-US"/>
        </w:rPr>
        <w:tab/>
        <w:t>80</w:t>
      </w:r>
      <w:r>
        <w:rPr>
          <w:rFonts w:ascii="Times New Roman" w:hAnsi="Times New Roman" w:cs="Times New Roman"/>
          <w:sz w:val="24"/>
          <w:szCs w:val="24"/>
          <w:lang w:val="en-US"/>
        </w:rPr>
        <w:tab/>
      </w:r>
      <w:r w:rsidR="00303DE9">
        <w:rPr>
          <w:rFonts w:ascii="Times New Roman" w:hAnsi="Times New Roman" w:cs="Times New Roman"/>
          <w:sz w:val="24"/>
          <w:szCs w:val="24"/>
          <w:lang w:val="en-US"/>
        </w:rPr>
        <w:t>26</w:t>
      </w:r>
      <w:r w:rsidR="004A13A7">
        <w:rPr>
          <w:rFonts w:ascii="Times New Roman" w:hAnsi="Times New Roman" w:cs="Times New Roman"/>
          <w:sz w:val="24"/>
          <w:szCs w:val="24"/>
          <w:lang w:val="en-US"/>
        </w:rPr>
        <w:tab/>
      </w:r>
      <w:r w:rsidR="00232CF9">
        <w:rPr>
          <w:rFonts w:ascii="Times New Roman" w:hAnsi="Times New Roman" w:cs="Times New Roman"/>
          <w:sz w:val="24"/>
          <w:szCs w:val="24"/>
          <w:lang w:val="en-US"/>
        </w:rPr>
        <w:t>0.04</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49</w:t>
      </w:r>
    </w:p>
    <w:p w:rsidR="00210222" w:rsidRDefault="00210222"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Poland</w:t>
      </w:r>
      <w:r>
        <w:rPr>
          <w:rFonts w:ascii="Times New Roman" w:hAnsi="Times New Roman" w:cs="Times New Roman"/>
          <w:sz w:val="24"/>
          <w:szCs w:val="24"/>
          <w:lang w:val="en-US"/>
        </w:rPr>
        <w:tab/>
        <w:t>83</w:t>
      </w:r>
      <w:r>
        <w:rPr>
          <w:rFonts w:ascii="Times New Roman" w:hAnsi="Times New Roman" w:cs="Times New Roman"/>
          <w:sz w:val="24"/>
          <w:szCs w:val="24"/>
          <w:lang w:val="en-US"/>
        </w:rPr>
        <w:tab/>
      </w:r>
      <w:r w:rsidR="00303DE9">
        <w:rPr>
          <w:rFonts w:ascii="Times New Roman" w:hAnsi="Times New Roman" w:cs="Times New Roman"/>
          <w:sz w:val="24"/>
          <w:szCs w:val="24"/>
          <w:lang w:val="en-US"/>
        </w:rPr>
        <w:t>26</w:t>
      </w:r>
      <w:r w:rsidR="004A13A7">
        <w:rPr>
          <w:rFonts w:ascii="Times New Roman" w:hAnsi="Times New Roman" w:cs="Times New Roman"/>
          <w:sz w:val="24"/>
          <w:szCs w:val="24"/>
          <w:lang w:val="en-US"/>
        </w:rPr>
        <w:tab/>
      </w:r>
      <w:r w:rsidR="00232CF9">
        <w:rPr>
          <w:rFonts w:ascii="Times New Roman" w:hAnsi="Times New Roman" w:cs="Times New Roman"/>
          <w:sz w:val="24"/>
          <w:szCs w:val="24"/>
          <w:lang w:val="en-US"/>
        </w:rPr>
        <w:t>0.31</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51</w:t>
      </w:r>
    </w:p>
    <w:p w:rsidR="00210222" w:rsidRDefault="00210222"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Portugal</w:t>
      </w:r>
      <w:r>
        <w:rPr>
          <w:rFonts w:ascii="Times New Roman" w:hAnsi="Times New Roman" w:cs="Times New Roman"/>
          <w:sz w:val="24"/>
          <w:szCs w:val="24"/>
          <w:lang w:val="en-US"/>
        </w:rPr>
        <w:tab/>
        <w:t>88</w:t>
      </w:r>
      <w:r>
        <w:rPr>
          <w:rFonts w:ascii="Times New Roman" w:hAnsi="Times New Roman" w:cs="Times New Roman"/>
          <w:sz w:val="24"/>
          <w:szCs w:val="24"/>
          <w:lang w:val="en-US"/>
        </w:rPr>
        <w:tab/>
      </w:r>
      <w:r w:rsidR="00303DE9">
        <w:rPr>
          <w:rFonts w:ascii="Times New Roman" w:hAnsi="Times New Roman" w:cs="Times New Roman"/>
          <w:sz w:val="24"/>
          <w:szCs w:val="24"/>
          <w:lang w:val="en-US"/>
        </w:rPr>
        <w:t>30</w:t>
      </w:r>
      <w:r w:rsidR="004A13A7">
        <w:rPr>
          <w:rFonts w:ascii="Times New Roman" w:hAnsi="Times New Roman" w:cs="Times New Roman"/>
          <w:sz w:val="24"/>
          <w:szCs w:val="24"/>
          <w:lang w:val="en-US"/>
        </w:rPr>
        <w:tab/>
      </w:r>
      <w:r w:rsidR="00232CF9">
        <w:rPr>
          <w:rFonts w:ascii="Times New Roman" w:hAnsi="Times New Roman" w:cs="Times New Roman"/>
          <w:sz w:val="24"/>
          <w:szCs w:val="24"/>
          <w:lang w:val="en-US"/>
        </w:rPr>
        <w:t>0.29</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176</w:t>
      </w:r>
    </w:p>
    <w:p w:rsidR="00210222" w:rsidRDefault="00210222"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Romania</w:t>
      </w:r>
      <w:r>
        <w:rPr>
          <w:rFonts w:ascii="Times New Roman" w:hAnsi="Times New Roman" w:cs="Times New Roman"/>
          <w:sz w:val="24"/>
          <w:szCs w:val="24"/>
          <w:lang w:val="en-US"/>
        </w:rPr>
        <w:tab/>
        <w:t>87</w:t>
      </w:r>
      <w:r>
        <w:rPr>
          <w:rFonts w:ascii="Times New Roman" w:hAnsi="Times New Roman" w:cs="Times New Roman"/>
          <w:sz w:val="24"/>
          <w:szCs w:val="24"/>
          <w:lang w:val="en-US"/>
        </w:rPr>
        <w:tab/>
      </w:r>
      <w:r w:rsidR="00303DE9">
        <w:rPr>
          <w:rFonts w:ascii="Times New Roman" w:hAnsi="Times New Roman" w:cs="Times New Roman"/>
          <w:sz w:val="24"/>
          <w:szCs w:val="24"/>
          <w:lang w:val="en-US"/>
        </w:rPr>
        <w:t>36</w:t>
      </w:r>
      <w:r w:rsidR="004A13A7">
        <w:rPr>
          <w:rFonts w:ascii="Times New Roman" w:hAnsi="Times New Roman" w:cs="Times New Roman"/>
          <w:sz w:val="24"/>
          <w:szCs w:val="24"/>
          <w:lang w:val="en-US"/>
        </w:rPr>
        <w:tab/>
      </w:r>
      <w:r w:rsidR="00232CF9">
        <w:rPr>
          <w:rFonts w:ascii="Times New Roman" w:hAnsi="Times New Roman" w:cs="Times New Roman"/>
          <w:sz w:val="24"/>
          <w:szCs w:val="24"/>
          <w:lang w:val="en-US"/>
        </w:rPr>
        <w:t>0.21</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166</w:t>
      </w:r>
    </w:p>
    <w:p w:rsidR="000F155D" w:rsidRDefault="00210222"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Serbia</w:t>
      </w:r>
      <w:r>
        <w:rPr>
          <w:rFonts w:ascii="Times New Roman" w:hAnsi="Times New Roman" w:cs="Times New Roman"/>
          <w:sz w:val="24"/>
          <w:szCs w:val="24"/>
          <w:lang w:val="en-US"/>
        </w:rPr>
        <w:tab/>
        <w:t>100</w:t>
      </w:r>
      <w:r>
        <w:rPr>
          <w:rFonts w:ascii="Times New Roman" w:hAnsi="Times New Roman" w:cs="Times New Roman"/>
          <w:sz w:val="24"/>
          <w:szCs w:val="24"/>
          <w:lang w:val="en-US"/>
        </w:rPr>
        <w:tab/>
      </w:r>
      <w:r w:rsidR="00303DE9">
        <w:rPr>
          <w:rFonts w:ascii="Times New Roman" w:hAnsi="Times New Roman" w:cs="Times New Roman"/>
          <w:sz w:val="24"/>
          <w:szCs w:val="24"/>
          <w:lang w:val="en-US"/>
        </w:rPr>
        <w:t>34</w:t>
      </w:r>
      <w:r w:rsidR="004A13A7">
        <w:rPr>
          <w:rFonts w:ascii="Times New Roman" w:hAnsi="Times New Roman" w:cs="Times New Roman"/>
          <w:sz w:val="24"/>
          <w:szCs w:val="24"/>
          <w:lang w:val="en-US"/>
        </w:rPr>
        <w:tab/>
      </w:r>
      <w:r w:rsidR="00232CF9">
        <w:rPr>
          <w:rFonts w:ascii="Times New Roman" w:hAnsi="Times New Roman" w:cs="Times New Roman"/>
          <w:sz w:val="24"/>
          <w:szCs w:val="24"/>
          <w:lang w:val="en-US"/>
        </w:rPr>
        <w:t>0.26</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79</w:t>
      </w:r>
    </w:p>
    <w:p w:rsidR="005508A1" w:rsidRDefault="005508A1"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Slovakia</w:t>
      </w:r>
      <w:r>
        <w:rPr>
          <w:rFonts w:ascii="Times New Roman" w:hAnsi="Times New Roman" w:cs="Times New Roman"/>
          <w:sz w:val="24"/>
          <w:szCs w:val="24"/>
          <w:lang w:val="en-US"/>
        </w:rPr>
        <w:tab/>
        <w:t>87</w:t>
      </w:r>
      <w:r>
        <w:rPr>
          <w:rFonts w:ascii="Times New Roman" w:hAnsi="Times New Roman" w:cs="Times New Roman"/>
          <w:sz w:val="24"/>
          <w:szCs w:val="24"/>
          <w:lang w:val="en-US"/>
        </w:rPr>
        <w:tab/>
      </w:r>
      <w:r w:rsidR="00303DE9">
        <w:rPr>
          <w:rFonts w:ascii="Times New Roman" w:hAnsi="Times New Roman" w:cs="Times New Roman"/>
          <w:sz w:val="24"/>
          <w:szCs w:val="24"/>
          <w:lang w:val="en-US"/>
        </w:rPr>
        <w:t>46</w:t>
      </w:r>
      <w:r w:rsidR="004A13A7">
        <w:rPr>
          <w:rFonts w:ascii="Times New Roman" w:hAnsi="Times New Roman" w:cs="Times New Roman"/>
          <w:sz w:val="24"/>
          <w:szCs w:val="24"/>
          <w:lang w:val="en-US"/>
        </w:rPr>
        <w:tab/>
      </w:r>
      <w:r w:rsidR="00232CF9">
        <w:rPr>
          <w:rFonts w:ascii="Times New Roman" w:hAnsi="Times New Roman" w:cs="Times New Roman"/>
          <w:sz w:val="24"/>
          <w:szCs w:val="24"/>
          <w:lang w:val="en-US"/>
        </w:rPr>
        <w:t>0.29</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6</w:t>
      </w:r>
    </w:p>
    <w:p w:rsidR="005508A1" w:rsidRDefault="005508A1"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Slovenia</w:t>
      </w:r>
      <w:r>
        <w:rPr>
          <w:rFonts w:ascii="Times New Roman" w:hAnsi="Times New Roman" w:cs="Times New Roman"/>
          <w:sz w:val="24"/>
          <w:szCs w:val="24"/>
          <w:lang w:val="en-US"/>
        </w:rPr>
        <w:tab/>
        <w:t>90</w:t>
      </w:r>
      <w:r>
        <w:rPr>
          <w:rFonts w:ascii="Times New Roman" w:hAnsi="Times New Roman" w:cs="Times New Roman"/>
          <w:sz w:val="24"/>
          <w:szCs w:val="24"/>
          <w:lang w:val="en-US"/>
        </w:rPr>
        <w:tab/>
      </w:r>
      <w:r w:rsidR="00303DE9">
        <w:rPr>
          <w:rFonts w:ascii="Times New Roman" w:hAnsi="Times New Roman" w:cs="Times New Roman"/>
          <w:sz w:val="24"/>
          <w:szCs w:val="24"/>
          <w:lang w:val="en-US"/>
        </w:rPr>
        <w:t>28</w:t>
      </w:r>
      <w:r w:rsidR="004A13A7">
        <w:rPr>
          <w:rFonts w:ascii="Times New Roman" w:hAnsi="Times New Roman" w:cs="Times New Roman"/>
          <w:sz w:val="24"/>
          <w:szCs w:val="24"/>
          <w:lang w:val="en-US"/>
        </w:rPr>
        <w:tab/>
      </w:r>
      <w:r w:rsidR="00232CF9">
        <w:rPr>
          <w:rFonts w:ascii="Times New Roman" w:hAnsi="Times New Roman" w:cs="Times New Roman"/>
          <w:sz w:val="24"/>
          <w:szCs w:val="24"/>
          <w:lang w:val="en-US"/>
        </w:rPr>
        <w:t>0.27</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Pr>
          <w:rFonts w:ascii="Times New Roman" w:hAnsi="Times New Roman" w:cs="Times New Roman"/>
          <w:sz w:val="24"/>
          <w:szCs w:val="24"/>
          <w:lang w:val="en-US"/>
        </w:rPr>
        <w:t>63</w:t>
      </w:r>
    </w:p>
    <w:p w:rsidR="005508A1" w:rsidRDefault="00167D91" w:rsidP="004A13A7">
      <w:pPr>
        <w:tabs>
          <w:tab w:val="left" w:pos="2835"/>
          <w:tab w:val="left" w:pos="4395"/>
          <w:tab w:val="left" w:pos="5954"/>
          <w:tab w:val="left" w:pos="765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Sweden</w:t>
      </w:r>
      <w:r>
        <w:rPr>
          <w:rFonts w:ascii="Times New Roman" w:hAnsi="Times New Roman" w:cs="Times New Roman"/>
          <w:sz w:val="24"/>
          <w:szCs w:val="24"/>
          <w:lang w:val="en-US"/>
        </w:rPr>
        <w:tab/>
        <w:t>65</w:t>
      </w:r>
      <w:r w:rsidR="005508A1">
        <w:rPr>
          <w:rFonts w:ascii="Times New Roman" w:hAnsi="Times New Roman" w:cs="Times New Roman"/>
          <w:sz w:val="24"/>
          <w:szCs w:val="24"/>
          <w:lang w:val="en-US"/>
        </w:rPr>
        <w:tab/>
      </w:r>
      <w:r w:rsidR="00303DE9">
        <w:rPr>
          <w:rFonts w:ascii="Times New Roman" w:hAnsi="Times New Roman" w:cs="Times New Roman"/>
          <w:sz w:val="24"/>
          <w:szCs w:val="24"/>
          <w:lang w:val="en-US"/>
        </w:rPr>
        <w:t>25</w:t>
      </w:r>
      <w:r w:rsidR="004A13A7">
        <w:rPr>
          <w:rFonts w:ascii="Times New Roman" w:hAnsi="Times New Roman" w:cs="Times New Roman"/>
          <w:sz w:val="24"/>
          <w:szCs w:val="24"/>
          <w:lang w:val="en-US"/>
        </w:rPr>
        <w:tab/>
      </w:r>
      <w:r w:rsidR="00232CF9">
        <w:rPr>
          <w:rFonts w:ascii="Times New Roman" w:hAnsi="Times New Roman" w:cs="Times New Roman"/>
          <w:sz w:val="24"/>
          <w:szCs w:val="24"/>
          <w:lang w:val="en-US"/>
        </w:rPr>
        <w:t>0.06</w:t>
      </w:r>
      <w:r w:rsidR="004A13A7">
        <w:rPr>
          <w:rFonts w:ascii="Times New Roman" w:hAnsi="Times New Roman" w:cs="Times New Roman"/>
          <w:sz w:val="24"/>
          <w:szCs w:val="24"/>
          <w:lang w:val="en-US"/>
        </w:rPr>
        <w:tab/>
      </w:r>
      <w:r w:rsidR="004A13A7">
        <w:rPr>
          <w:rFonts w:ascii="Times New Roman" w:hAnsi="Times New Roman" w:cs="Times New Roman"/>
          <w:sz w:val="24"/>
          <w:szCs w:val="24"/>
          <w:lang w:val="en-US"/>
        </w:rPr>
        <w:tab/>
      </w:r>
      <w:r w:rsidR="005508A1">
        <w:rPr>
          <w:rFonts w:ascii="Times New Roman" w:hAnsi="Times New Roman" w:cs="Times New Roman"/>
          <w:sz w:val="24"/>
          <w:szCs w:val="24"/>
          <w:lang w:val="en-US"/>
        </w:rPr>
        <w:t>575</w:t>
      </w:r>
    </w:p>
    <w:p w:rsidR="009125D9" w:rsidRDefault="005508A1" w:rsidP="00AD543E">
      <w:pPr>
        <w:tabs>
          <w:tab w:val="left" w:pos="4536"/>
          <w:tab w:val="left" w:pos="680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r w:rsidR="009125D9">
        <w:rPr>
          <w:rFonts w:ascii="Times New Roman" w:hAnsi="Times New Roman" w:cs="Times New Roman"/>
          <w:sz w:val="24"/>
          <w:szCs w:val="24"/>
          <w:lang w:val="en-US"/>
        </w:rPr>
        <w:br w:type="page"/>
      </w:r>
    </w:p>
    <w:p w:rsidR="005C79D9" w:rsidRDefault="005C79D9" w:rsidP="005C79D9">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rsidR="00265737" w:rsidRDefault="00265737" w:rsidP="005C79D9">
      <w:pPr>
        <w:spacing w:after="0" w:line="240" w:lineRule="auto"/>
        <w:jc w:val="both"/>
        <w:rPr>
          <w:rFonts w:ascii="Times New Roman" w:hAnsi="Times New Roman" w:cs="Times New Roman"/>
          <w:sz w:val="24"/>
          <w:szCs w:val="24"/>
          <w:lang w:val="en-US"/>
        </w:rPr>
      </w:pPr>
    </w:p>
    <w:p w:rsidR="005C79D9" w:rsidRPr="002F671A" w:rsidRDefault="00265737" w:rsidP="005C79D9">
      <w:pPr>
        <w:spacing w:after="0" w:line="240" w:lineRule="auto"/>
        <w:jc w:val="both"/>
        <w:rPr>
          <w:rFonts w:ascii="Times New Roman" w:hAnsi="Times New Roman" w:cs="Times New Roman"/>
          <w:sz w:val="24"/>
          <w:szCs w:val="24"/>
          <w:lang w:val="en-US"/>
        </w:rPr>
      </w:pPr>
      <w:proofErr w:type="spellStart"/>
      <w:r w:rsidRPr="002F671A">
        <w:rPr>
          <w:rFonts w:ascii="Times New Roman" w:hAnsi="Times New Roman" w:cs="Times New Roman"/>
          <w:sz w:val="24"/>
          <w:szCs w:val="24"/>
          <w:lang w:val="en-US"/>
        </w:rPr>
        <w:t>Aguas</w:t>
      </w:r>
      <w:proofErr w:type="spellEnd"/>
      <w:r w:rsidRPr="002F671A">
        <w:rPr>
          <w:rFonts w:ascii="Times New Roman" w:hAnsi="Times New Roman" w:cs="Times New Roman"/>
          <w:sz w:val="24"/>
          <w:szCs w:val="24"/>
          <w:lang w:val="en-US"/>
        </w:rPr>
        <w:t xml:space="preserve">, R., </w:t>
      </w:r>
      <w:r w:rsidR="002E2B17" w:rsidRPr="002F671A">
        <w:rPr>
          <w:rFonts w:ascii="Times New Roman" w:hAnsi="Times New Roman" w:cs="Times New Roman"/>
          <w:sz w:val="24"/>
          <w:szCs w:val="24"/>
          <w:lang w:val="en-US"/>
        </w:rPr>
        <w:t xml:space="preserve">and </w:t>
      </w:r>
      <w:proofErr w:type="spellStart"/>
      <w:r w:rsidR="002E2B17" w:rsidRPr="002F671A">
        <w:rPr>
          <w:rFonts w:ascii="Times New Roman" w:hAnsi="Times New Roman" w:cs="Times New Roman"/>
          <w:sz w:val="24"/>
          <w:szCs w:val="24"/>
          <w:lang w:val="en-US"/>
        </w:rPr>
        <w:t>Corder</w:t>
      </w:r>
      <w:proofErr w:type="spellEnd"/>
      <w:r w:rsidR="002E2B17" w:rsidRPr="002F671A">
        <w:rPr>
          <w:rFonts w:ascii="Times New Roman" w:hAnsi="Times New Roman" w:cs="Times New Roman"/>
          <w:sz w:val="24"/>
          <w:szCs w:val="24"/>
          <w:lang w:val="en-US"/>
        </w:rPr>
        <w:t xml:space="preserve">, R., 2020.  </w:t>
      </w:r>
      <w:proofErr w:type="gramStart"/>
      <w:r w:rsidR="002E2B17" w:rsidRPr="002F671A">
        <w:rPr>
          <w:rFonts w:ascii="Times New Roman" w:hAnsi="Times New Roman" w:cs="Times New Roman"/>
          <w:sz w:val="24"/>
          <w:szCs w:val="24"/>
          <w:lang w:val="en-US"/>
        </w:rPr>
        <w:t xml:space="preserve">“Herd Immunity Thresholds for SARS-CoV-2 Estimated from Unfolding Epidemics”, </w:t>
      </w:r>
      <w:hyperlink r:id="rId10" w:history="1">
        <w:r w:rsidR="002F671A" w:rsidRPr="002F671A">
          <w:rPr>
            <w:rStyle w:val="Hyperlink"/>
            <w:rFonts w:ascii="Times New Roman" w:hAnsi="Times New Roman" w:cs="Times New Roman"/>
            <w:sz w:val="24"/>
            <w:szCs w:val="24"/>
          </w:rPr>
          <w:t>https://www.medrxiv.org/content/10.1101/2020.07.23.20160762v2</w:t>
        </w:r>
      </w:hyperlink>
      <w:r w:rsidR="002F671A" w:rsidRPr="002F671A">
        <w:rPr>
          <w:rFonts w:ascii="Times New Roman" w:hAnsi="Times New Roman" w:cs="Times New Roman"/>
          <w:sz w:val="24"/>
          <w:szCs w:val="24"/>
        </w:rPr>
        <w:t>.</w:t>
      </w:r>
      <w:proofErr w:type="gramEnd"/>
    </w:p>
    <w:p w:rsidR="00265737" w:rsidRDefault="00265737" w:rsidP="005C79D9">
      <w:pPr>
        <w:spacing w:after="0" w:line="240" w:lineRule="auto"/>
        <w:jc w:val="both"/>
        <w:rPr>
          <w:rFonts w:ascii="Times New Roman" w:hAnsi="Times New Roman" w:cs="Times New Roman"/>
          <w:b/>
          <w:sz w:val="24"/>
          <w:szCs w:val="24"/>
          <w:lang w:val="en-US"/>
        </w:rPr>
      </w:pPr>
    </w:p>
    <w:p w:rsidR="00B008D0" w:rsidRPr="00DF2A85" w:rsidRDefault="00B008D0" w:rsidP="005C79D9">
      <w:pPr>
        <w:spacing w:after="0" w:line="240" w:lineRule="auto"/>
        <w:jc w:val="both"/>
        <w:rPr>
          <w:rFonts w:ascii="Times New Roman" w:hAnsi="Times New Roman" w:cs="Times New Roman"/>
          <w:sz w:val="24"/>
          <w:szCs w:val="24"/>
          <w:lang w:val="en-US"/>
        </w:rPr>
      </w:pPr>
      <w:r w:rsidRPr="00DF2A85">
        <w:rPr>
          <w:rFonts w:ascii="Times New Roman" w:hAnsi="Times New Roman" w:cs="Times New Roman"/>
          <w:sz w:val="24"/>
          <w:szCs w:val="24"/>
          <w:lang w:val="en-US"/>
        </w:rPr>
        <w:t>A</w:t>
      </w:r>
      <w:r w:rsidR="001D2F5C" w:rsidRPr="00DF2A85">
        <w:rPr>
          <w:rFonts w:ascii="Times New Roman" w:hAnsi="Times New Roman" w:cs="Times New Roman"/>
          <w:sz w:val="24"/>
          <w:szCs w:val="24"/>
          <w:lang w:val="en-US"/>
        </w:rPr>
        <w:t xml:space="preserve">ndersen, A., Hansen, E, </w:t>
      </w:r>
      <w:proofErr w:type="spellStart"/>
      <w:r w:rsidR="001D2F5C" w:rsidRPr="00DF2A85">
        <w:rPr>
          <w:rFonts w:ascii="Times New Roman" w:hAnsi="Times New Roman" w:cs="Times New Roman"/>
          <w:sz w:val="24"/>
          <w:szCs w:val="24"/>
          <w:lang w:val="en-US"/>
        </w:rPr>
        <w:t>Johannesen</w:t>
      </w:r>
      <w:proofErr w:type="spellEnd"/>
      <w:r w:rsidR="001D2F5C" w:rsidRPr="00DF2A85">
        <w:rPr>
          <w:rFonts w:ascii="Times New Roman" w:hAnsi="Times New Roman" w:cs="Times New Roman"/>
          <w:sz w:val="24"/>
          <w:szCs w:val="24"/>
          <w:lang w:val="en-US"/>
        </w:rPr>
        <w:t>, N., and S</w:t>
      </w:r>
      <w:r w:rsidR="006E2B05" w:rsidRPr="00DF2A85">
        <w:rPr>
          <w:rFonts w:ascii="Times New Roman" w:hAnsi="Times New Roman" w:cs="Times New Roman"/>
          <w:sz w:val="24"/>
          <w:szCs w:val="24"/>
          <w:lang w:val="en-US"/>
        </w:rPr>
        <w:t xml:space="preserve">heridan, A., 2020.  </w:t>
      </w:r>
      <w:proofErr w:type="gramStart"/>
      <w:r w:rsidR="006E2B05" w:rsidRPr="00DF2A85">
        <w:rPr>
          <w:rFonts w:ascii="Times New Roman" w:hAnsi="Times New Roman" w:cs="Times New Roman"/>
          <w:sz w:val="24"/>
          <w:szCs w:val="24"/>
          <w:lang w:val="en-US"/>
        </w:rPr>
        <w:t xml:space="preserve">“Pandemic, Shutdown, </w:t>
      </w:r>
      <w:r w:rsidR="00DF2A85" w:rsidRPr="00DF2A85">
        <w:rPr>
          <w:rFonts w:ascii="Times New Roman" w:hAnsi="Times New Roman" w:cs="Times New Roman"/>
          <w:sz w:val="24"/>
          <w:szCs w:val="24"/>
          <w:lang w:val="en-US"/>
        </w:rPr>
        <w:t xml:space="preserve">and Consumer Spending: Lessons from Scandinavian Policy Responses to Covid-19”, </w:t>
      </w:r>
      <w:hyperlink r:id="rId11" w:history="1">
        <w:r w:rsidR="00E619AE" w:rsidRPr="00C8391E">
          <w:rPr>
            <w:rStyle w:val="Hyperlink"/>
            <w:rFonts w:ascii="Times New Roman" w:hAnsi="Times New Roman" w:cs="Times New Roman"/>
            <w:sz w:val="24"/>
            <w:szCs w:val="24"/>
          </w:rPr>
          <w:t>https://arxiv.org/pdf/2005.04630.pdf</w:t>
        </w:r>
      </w:hyperlink>
      <w:r w:rsidR="00E619AE">
        <w:rPr>
          <w:rFonts w:ascii="Times New Roman" w:hAnsi="Times New Roman" w:cs="Times New Roman"/>
          <w:sz w:val="24"/>
          <w:szCs w:val="24"/>
        </w:rPr>
        <w:t>.</w:t>
      </w:r>
      <w:proofErr w:type="gramEnd"/>
    </w:p>
    <w:p w:rsidR="00B008D0" w:rsidRDefault="00B008D0" w:rsidP="005C79D9">
      <w:pPr>
        <w:spacing w:after="0" w:line="240" w:lineRule="auto"/>
        <w:jc w:val="both"/>
        <w:rPr>
          <w:rFonts w:ascii="Times New Roman" w:hAnsi="Times New Roman" w:cs="Times New Roman"/>
          <w:b/>
          <w:sz w:val="24"/>
          <w:szCs w:val="24"/>
          <w:lang w:val="en-US"/>
        </w:rPr>
      </w:pPr>
    </w:p>
    <w:p w:rsidR="001456CA" w:rsidRPr="00F50014" w:rsidRDefault="001456CA" w:rsidP="005C79D9">
      <w:pPr>
        <w:spacing w:after="0" w:line="240" w:lineRule="auto"/>
        <w:jc w:val="both"/>
        <w:rPr>
          <w:rFonts w:ascii="Times New Roman" w:hAnsi="Times New Roman" w:cs="Times New Roman"/>
          <w:sz w:val="24"/>
          <w:szCs w:val="24"/>
          <w:lang w:val="en-US"/>
        </w:rPr>
      </w:pPr>
      <w:proofErr w:type="gramStart"/>
      <w:r w:rsidRPr="00F50014">
        <w:rPr>
          <w:rFonts w:ascii="Times New Roman" w:hAnsi="Times New Roman" w:cs="Times New Roman"/>
          <w:sz w:val="24"/>
          <w:szCs w:val="24"/>
          <w:lang w:val="en-US"/>
        </w:rPr>
        <w:t xml:space="preserve">Arnold, </w:t>
      </w:r>
      <w:r w:rsidR="00F50014">
        <w:rPr>
          <w:rFonts w:ascii="Times New Roman" w:hAnsi="Times New Roman" w:cs="Times New Roman"/>
          <w:sz w:val="24"/>
          <w:szCs w:val="24"/>
          <w:lang w:val="en-US"/>
        </w:rPr>
        <w:t xml:space="preserve">D., </w:t>
      </w:r>
      <w:r w:rsidR="00E50463">
        <w:rPr>
          <w:rFonts w:ascii="Times New Roman" w:hAnsi="Times New Roman" w:cs="Times New Roman"/>
          <w:sz w:val="24"/>
          <w:szCs w:val="24"/>
          <w:lang w:val="en-US"/>
        </w:rPr>
        <w:t xml:space="preserve">and Hamilton, F., </w:t>
      </w:r>
      <w:r w:rsidR="00F50014">
        <w:rPr>
          <w:rFonts w:ascii="Times New Roman" w:hAnsi="Times New Roman" w:cs="Times New Roman"/>
          <w:sz w:val="24"/>
          <w:szCs w:val="24"/>
          <w:lang w:val="en-US"/>
        </w:rPr>
        <w:t>2020.</w:t>
      </w:r>
      <w:proofErr w:type="gramEnd"/>
      <w:r w:rsidR="00F50014">
        <w:rPr>
          <w:rFonts w:ascii="Times New Roman" w:hAnsi="Times New Roman" w:cs="Times New Roman"/>
          <w:sz w:val="24"/>
          <w:szCs w:val="24"/>
          <w:lang w:val="en-US"/>
        </w:rPr>
        <w:t xml:space="preserve">  “Patient Outcomes after </w:t>
      </w:r>
      <w:proofErr w:type="spellStart"/>
      <w:r w:rsidR="00F50014">
        <w:rPr>
          <w:rFonts w:ascii="Times New Roman" w:hAnsi="Times New Roman" w:cs="Times New Roman"/>
          <w:sz w:val="24"/>
          <w:szCs w:val="24"/>
          <w:lang w:val="en-US"/>
        </w:rPr>
        <w:t>Hospitalisation</w:t>
      </w:r>
      <w:proofErr w:type="spellEnd"/>
      <w:r w:rsidR="00F50014">
        <w:rPr>
          <w:rFonts w:ascii="Times New Roman" w:hAnsi="Times New Roman" w:cs="Times New Roman"/>
          <w:sz w:val="24"/>
          <w:szCs w:val="24"/>
          <w:lang w:val="en-US"/>
        </w:rPr>
        <w:t xml:space="preserve"> with Covid-19</w:t>
      </w:r>
      <w:r w:rsidR="00F175E3">
        <w:rPr>
          <w:rFonts w:ascii="Times New Roman" w:hAnsi="Times New Roman" w:cs="Times New Roman"/>
          <w:sz w:val="24"/>
          <w:szCs w:val="24"/>
          <w:lang w:val="en-US"/>
        </w:rPr>
        <w:t xml:space="preserve"> and Implications for Follow-Up: Results from a Prospective UK Cohort”, </w:t>
      </w:r>
      <w:hyperlink r:id="rId12" w:history="1">
        <w:r w:rsidR="00F175E3" w:rsidRPr="00C8391E">
          <w:rPr>
            <w:rStyle w:val="Hyperlink"/>
            <w:rFonts w:ascii="Times New Roman" w:hAnsi="Times New Roman" w:cs="Times New Roman"/>
            <w:sz w:val="24"/>
            <w:szCs w:val="24"/>
            <w:lang w:val="en-US"/>
          </w:rPr>
          <w:t>https://www.medrxiv.org/content/medrxiv/early/2020/08/14/2020.08.12.20173526.full.pdf</w:t>
        </w:r>
      </w:hyperlink>
      <w:r w:rsidR="00F175E3">
        <w:rPr>
          <w:rFonts w:ascii="Times New Roman" w:hAnsi="Times New Roman" w:cs="Times New Roman"/>
          <w:sz w:val="24"/>
          <w:szCs w:val="24"/>
          <w:lang w:val="en-US"/>
        </w:rPr>
        <w:t>.</w:t>
      </w:r>
    </w:p>
    <w:p w:rsidR="001456CA" w:rsidRDefault="001456CA" w:rsidP="005C79D9">
      <w:pPr>
        <w:spacing w:after="0" w:line="240" w:lineRule="auto"/>
        <w:jc w:val="both"/>
        <w:rPr>
          <w:rFonts w:ascii="Times New Roman" w:hAnsi="Times New Roman" w:cs="Times New Roman"/>
          <w:b/>
          <w:sz w:val="24"/>
          <w:szCs w:val="24"/>
          <w:lang w:val="en-US"/>
        </w:rPr>
      </w:pPr>
    </w:p>
    <w:p w:rsidR="00F36FD4" w:rsidRPr="00F36FD4" w:rsidRDefault="00F36FD4" w:rsidP="005C79D9">
      <w:pPr>
        <w:spacing w:after="0" w:line="240" w:lineRule="auto"/>
        <w:jc w:val="both"/>
        <w:rPr>
          <w:rFonts w:ascii="Times New Roman" w:hAnsi="Times New Roman" w:cs="Times New Roman"/>
          <w:sz w:val="24"/>
          <w:szCs w:val="24"/>
          <w:lang w:val="en-US"/>
        </w:rPr>
      </w:pPr>
      <w:proofErr w:type="gramStart"/>
      <w:r w:rsidRPr="00F36FD4">
        <w:rPr>
          <w:rFonts w:ascii="Times New Roman" w:hAnsi="Times New Roman" w:cs="Times New Roman"/>
          <w:sz w:val="24"/>
          <w:szCs w:val="24"/>
          <w:lang w:val="en-US"/>
        </w:rPr>
        <w:t xml:space="preserve">Baker, M., </w:t>
      </w:r>
      <w:proofErr w:type="spellStart"/>
      <w:r w:rsidRPr="00F36FD4">
        <w:rPr>
          <w:rFonts w:ascii="Times New Roman" w:hAnsi="Times New Roman" w:cs="Times New Roman"/>
          <w:sz w:val="24"/>
          <w:szCs w:val="24"/>
          <w:lang w:val="en-US"/>
        </w:rPr>
        <w:t>Kvalsvig</w:t>
      </w:r>
      <w:proofErr w:type="spellEnd"/>
      <w:r w:rsidRPr="00F36FD4">
        <w:rPr>
          <w:rFonts w:ascii="Times New Roman" w:hAnsi="Times New Roman" w:cs="Times New Roman"/>
          <w:sz w:val="24"/>
          <w:szCs w:val="24"/>
          <w:lang w:val="en-US"/>
        </w:rPr>
        <w:t xml:space="preserve">, A., </w:t>
      </w:r>
      <w:proofErr w:type="spellStart"/>
      <w:r w:rsidRPr="00F36FD4">
        <w:rPr>
          <w:rFonts w:ascii="Times New Roman" w:hAnsi="Times New Roman" w:cs="Times New Roman"/>
          <w:sz w:val="24"/>
          <w:szCs w:val="24"/>
          <w:lang w:val="en-US"/>
        </w:rPr>
        <w:t>Verrall</w:t>
      </w:r>
      <w:proofErr w:type="spellEnd"/>
      <w:r w:rsidRPr="00F36FD4">
        <w:rPr>
          <w:rFonts w:ascii="Times New Roman" w:hAnsi="Times New Roman" w:cs="Times New Roman"/>
          <w:sz w:val="24"/>
          <w:szCs w:val="24"/>
          <w:lang w:val="en-US"/>
        </w:rPr>
        <w:t>, A, Telfer-Barnard, L., and Wilson, N</w:t>
      </w:r>
      <w:r>
        <w:rPr>
          <w:rFonts w:ascii="Times New Roman" w:hAnsi="Times New Roman" w:cs="Times New Roman"/>
          <w:sz w:val="24"/>
          <w:szCs w:val="24"/>
          <w:lang w:val="en-US"/>
        </w:rPr>
        <w:t>., 2020.</w:t>
      </w:r>
      <w:proofErr w:type="gramEnd"/>
      <w:r>
        <w:rPr>
          <w:rFonts w:ascii="Times New Roman" w:hAnsi="Times New Roman" w:cs="Times New Roman"/>
          <w:sz w:val="24"/>
          <w:szCs w:val="24"/>
          <w:lang w:val="en-US"/>
        </w:rPr>
        <w:t xml:space="preserve">  “New Zealand’s Elimination Strategy for the Covid-19 Pandemic and what is Required to make it Work”, </w:t>
      </w:r>
      <w:r>
        <w:rPr>
          <w:rFonts w:ascii="Times New Roman" w:hAnsi="Times New Roman" w:cs="Times New Roman"/>
          <w:i/>
          <w:sz w:val="24"/>
          <w:szCs w:val="24"/>
          <w:lang w:val="en-US"/>
        </w:rPr>
        <w:t>New Zealand Medical Journal</w:t>
      </w:r>
      <w:r>
        <w:rPr>
          <w:rFonts w:ascii="Times New Roman" w:hAnsi="Times New Roman" w:cs="Times New Roman"/>
          <w:sz w:val="24"/>
          <w:szCs w:val="24"/>
          <w:lang w:val="en-US"/>
        </w:rPr>
        <w:t xml:space="preserve">, vol. 133, </w:t>
      </w:r>
      <w:hyperlink r:id="rId13" w:history="1">
        <w:r w:rsidRPr="0033187F">
          <w:rPr>
            <w:rStyle w:val="Hyperlink"/>
            <w:rFonts w:ascii="Times New Roman" w:hAnsi="Times New Roman" w:cs="Times New Roman"/>
            <w:sz w:val="24"/>
            <w:szCs w:val="24"/>
            <w:lang w:val="en-US"/>
          </w:rPr>
          <w:t>https://www.nzma.org.nz/journal-articles/new-zealands-elimination-strategy-for-the-covid-19-pandemic-and-what-is-required-to-make-it-work</w:t>
        </w:r>
      </w:hyperlink>
      <w:r>
        <w:rPr>
          <w:rFonts w:ascii="Times New Roman" w:hAnsi="Times New Roman" w:cs="Times New Roman"/>
          <w:sz w:val="24"/>
          <w:szCs w:val="24"/>
          <w:lang w:val="en-US"/>
        </w:rPr>
        <w:t>.</w:t>
      </w:r>
    </w:p>
    <w:p w:rsidR="00F36FD4" w:rsidRDefault="00F36FD4" w:rsidP="005C79D9">
      <w:pPr>
        <w:spacing w:after="0" w:line="240" w:lineRule="auto"/>
        <w:jc w:val="both"/>
        <w:rPr>
          <w:rFonts w:ascii="Times New Roman" w:hAnsi="Times New Roman" w:cs="Times New Roman"/>
          <w:b/>
          <w:sz w:val="24"/>
          <w:szCs w:val="24"/>
          <w:lang w:val="en-US"/>
        </w:rPr>
      </w:pPr>
    </w:p>
    <w:p w:rsidR="003D3C78" w:rsidRPr="002E5A66" w:rsidRDefault="003D3C78" w:rsidP="005C79D9">
      <w:pPr>
        <w:spacing w:after="0" w:line="240" w:lineRule="auto"/>
        <w:jc w:val="both"/>
        <w:rPr>
          <w:rFonts w:ascii="Times New Roman" w:hAnsi="Times New Roman" w:cs="Times New Roman"/>
          <w:sz w:val="24"/>
          <w:szCs w:val="24"/>
          <w:lang w:val="en-US"/>
        </w:rPr>
      </w:pPr>
      <w:proofErr w:type="spellStart"/>
      <w:r w:rsidRPr="002E5A66">
        <w:rPr>
          <w:rFonts w:ascii="Times New Roman" w:hAnsi="Times New Roman" w:cs="Times New Roman"/>
          <w:sz w:val="24"/>
          <w:szCs w:val="24"/>
          <w:lang w:val="en-US"/>
        </w:rPr>
        <w:t>B</w:t>
      </w:r>
      <w:r w:rsidR="002E5A66">
        <w:rPr>
          <w:rFonts w:ascii="Times New Roman" w:hAnsi="Times New Roman" w:cs="Times New Roman"/>
          <w:sz w:val="24"/>
          <w:szCs w:val="24"/>
          <w:lang w:val="en-US"/>
        </w:rPr>
        <w:t>eaudet</w:t>
      </w:r>
      <w:proofErr w:type="spellEnd"/>
      <w:r w:rsidR="002E5A66">
        <w:rPr>
          <w:rFonts w:ascii="Times New Roman" w:hAnsi="Times New Roman" w:cs="Times New Roman"/>
          <w:sz w:val="24"/>
          <w:szCs w:val="24"/>
          <w:lang w:val="en-US"/>
        </w:rPr>
        <w:t xml:space="preserve">, A., Clegg, J., </w:t>
      </w:r>
      <w:proofErr w:type="spellStart"/>
      <w:r w:rsidR="002E5A66">
        <w:rPr>
          <w:rFonts w:ascii="Times New Roman" w:hAnsi="Times New Roman" w:cs="Times New Roman"/>
          <w:sz w:val="24"/>
          <w:szCs w:val="24"/>
          <w:lang w:val="en-US"/>
        </w:rPr>
        <w:t>Thuresson</w:t>
      </w:r>
      <w:proofErr w:type="spellEnd"/>
      <w:r w:rsidR="002E5A66">
        <w:rPr>
          <w:rFonts w:ascii="Times New Roman" w:hAnsi="Times New Roman" w:cs="Times New Roman"/>
          <w:sz w:val="24"/>
          <w:szCs w:val="24"/>
          <w:lang w:val="en-US"/>
        </w:rPr>
        <w:t xml:space="preserve">, P., Lloyd, A., and </w:t>
      </w:r>
      <w:proofErr w:type="spellStart"/>
      <w:r w:rsidR="002E5A66">
        <w:rPr>
          <w:rFonts w:ascii="Times New Roman" w:hAnsi="Times New Roman" w:cs="Times New Roman"/>
          <w:sz w:val="24"/>
          <w:szCs w:val="24"/>
          <w:lang w:val="en-US"/>
        </w:rPr>
        <w:t>MacEwan</w:t>
      </w:r>
      <w:proofErr w:type="spellEnd"/>
      <w:r w:rsidR="002E5A66">
        <w:rPr>
          <w:rFonts w:ascii="Times New Roman" w:hAnsi="Times New Roman" w:cs="Times New Roman"/>
          <w:sz w:val="24"/>
          <w:szCs w:val="24"/>
          <w:lang w:val="en-US"/>
        </w:rPr>
        <w:t xml:space="preserve">, P., 2020.  “Review of Utility Values for Economic Modelling in Type 2 Diabetes”, </w:t>
      </w:r>
      <w:r w:rsidR="002E5A66">
        <w:rPr>
          <w:rFonts w:ascii="Times New Roman" w:hAnsi="Times New Roman" w:cs="Times New Roman"/>
          <w:i/>
          <w:sz w:val="24"/>
          <w:szCs w:val="24"/>
          <w:lang w:val="en-US"/>
        </w:rPr>
        <w:t>Value in Health</w:t>
      </w:r>
      <w:r w:rsidR="002E5A66">
        <w:rPr>
          <w:rFonts w:ascii="Times New Roman" w:hAnsi="Times New Roman" w:cs="Times New Roman"/>
          <w:sz w:val="24"/>
          <w:szCs w:val="24"/>
          <w:lang w:val="en-US"/>
        </w:rPr>
        <w:t xml:space="preserve">, vol. 17, pp. 462-470, </w:t>
      </w:r>
      <w:hyperlink r:id="rId14" w:history="1">
        <w:r w:rsidR="002E5A66" w:rsidRPr="00B1017F">
          <w:rPr>
            <w:rStyle w:val="Hyperlink"/>
            <w:rFonts w:ascii="Times New Roman" w:hAnsi="Times New Roman" w:cs="Times New Roman"/>
            <w:sz w:val="24"/>
            <w:szCs w:val="24"/>
            <w:lang w:val="en-US"/>
          </w:rPr>
          <w:t>https://www.valueinhealthjournal.com/article/S1098-3015%2814%2900054-0/fulltext</w:t>
        </w:r>
      </w:hyperlink>
      <w:r w:rsidR="002E5A66">
        <w:rPr>
          <w:rFonts w:ascii="Times New Roman" w:hAnsi="Times New Roman" w:cs="Times New Roman"/>
          <w:sz w:val="24"/>
          <w:szCs w:val="24"/>
          <w:lang w:val="en-US"/>
        </w:rPr>
        <w:t>.</w:t>
      </w:r>
    </w:p>
    <w:p w:rsidR="003D3C78" w:rsidRDefault="003D3C78" w:rsidP="005C79D9">
      <w:pPr>
        <w:spacing w:after="0" w:line="240" w:lineRule="auto"/>
        <w:jc w:val="both"/>
        <w:rPr>
          <w:rFonts w:ascii="Times New Roman" w:hAnsi="Times New Roman" w:cs="Times New Roman"/>
          <w:b/>
          <w:sz w:val="24"/>
          <w:szCs w:val="24"/>
          <w:lang w:val="en-US"/>
        </w:rPr>
      </w:pPr>
    </w:p>
    <w:p w:rsidR="00752DB4" w:rsidRPr="00752DB4" w:rsidRDefault="00752DB4" w:rsidP="005C79D9">
      <w:pPr>
        <w:spacing w:after="0" w:line="240" w:lineRule="auto"/>
        <w:jc w:val="both"/>
        <w:rPr>
          <w:rFonts w:ascii="Times New Roman" w:hAnsi="Times New Roman" w:cs="Times New Roman"/>
          <w:sz w:val="24"/>
          <w:szCs w:val="24"/>
          <w:lang w:val="en-US"/>
        </w:rPr>
      </w:pPr>
      <w:proofErr w:type="gramStart"/>
      <w:r w:rsidRPr="00752DB4">
        <w:rPr>
          <w:rFonts w:ascii="Times New Roman" w:hAnsi="Times New Roman" w:cs="Times New Roman"/>
          <w:sz w:val="24"/>
          <w:szCs w:val="24"/>
          <w:lang w:val="en-US"/>
        </w:rPr>
        <w:t>Bell, D., and Comas-</w:t>
      </w:r>
      <w:proofErr w:type="spellStart"/>
      <w:r w:rsidRPr="00752DB4">
        <w:rPr>
          <w:rFonts w:ascii="Times New Roman" w:hAnsi="Times New Roman" w:cs="Times New Roman"/>
          <w:sz w:val="24"/>
          <w:szCs w:val="24"/>
          <w:lang w:val="en-US"/>
        </w:rPr>
        <w:t>Herrara</w:t>
      </w:r>
      <w:proofErr w:type="spellEnd"/>
      <w:r w:rsidRPr="00752DB4">
        <w:rPr>
          <w:rFonts w:ascii="Times New Roman" w:hAnsi="Times New Roman" w:cs="Times New Roman"/>
          <w:sz w:val="24"/>
          <w:szCs w:val="24"/>
          <w:lang w:val="en-US"/>
        </w:rPr>
        <w:t xml:space="preserve">, A., </w:t>
      </w:r>
      <w:r w:rsidR="00B64A1F">
        <w:rPr>
          <w:rFonts w:ascii="Times New Roman" w:hAnsi="Times New Roman" w:cs="Times New Roman"/>
          <w:sz w:val="24"/>
          <w:szCs w:val="24"/>
          <w:lang w:val="en-US"/>
        </w:rPr>
        <w:t xml:space="preserve">and Henderson, D., </w:t>
      </w:r>
      <w:r w:rsidRPr="00752DB4">
        <w:rPr>
          <w:rFonts w:ascii="Times New Roman" w:hAnsi="Times New Roman" w:cs="Times New Roman"/>
          <w:sz w:val="24"/>
          <w:szCs w:val="24"/>
          <w:lang w:val="en-US"/>
        </w:rPr>
        <w:t>2020.</w:t>
      </w:r>
      <w:proofErr w:type="gramEnd"/>
      <w:r w:rsidRPr="00752DB4">
        <w:rPr>
          <w:rFonts w:ascii="Times New Roman" w:hAnsi="Times New Roman" w:cs="Times New Roman"/>
          <w:sz w:val="24"/>
          <w:szCs w:val="24"/>
          <w:lang w:val="en-US"/>
        </w:rPr>
        <w:t xml:space="preserve">  “Covid-19 Mortality and Long-Term Care: A UK Comparison,</w:t>
      </w:r>
      <w:r w:rsidR="00B64A1F">
        <w:rPr>
          <w:rFonts w:ascii="Times New Roman" w:hAnsi="Times New Roman" w:cs="Times New Roman"/>
          <w:sz w:val="24"/>
          <w:szCs w:val="24"/>
          <w:lang w:val="en-US"/>
        </w:rPr>
        <w:t xml:space="preserve"> </w:t>
      </w:r>
      <w:r w:rsidR="00B64A1F">
        <w:rPr>
          <w:rFonts w:ascii="Times New Roman" w:hAnsi="Times New Roman" w:cs="Times New Roman"/>
          <w:i/>
          <w:sz w:val="24"/>
          <w:szCs w:val="24"/>
          <w:lang w:val="en-US"/>
        </w:rPr>
        <w:t>International Long-Term Care Policy Network</w:t>
      </w:r>
      <w:proofErr w:type="gramStart"/>
      <w:r w:rsidR="00B64A1F">
        <w:rPr>
          <w:rFonts w:ascii="Times New Roman" w:hAnsi="Times New Roman" w:cs="Times New Roman"/>
          <w:sz w:val="24"/>
          <w:szCs w:val="24"/>
          <w:lang w:val="en-US"/>
        </w:rPr>
        <w:t xml:space="preserve">, </w:t>
      </w:r>
      <w:r w:rsidRPr="00752DB4">
        <w:rPr>
          <w:rFonts w:ascii="Times New Roman" w:hAnsi="Times New Roman" w:cs="Times New Roman"/>
          <w:sz w:val="24"/>
          <w:szCs w:val="24"/>
          <w:lang w:val="en-US"/>
        </w:rPr>
        <w:t xml:space="preserve"> </w:t>
      </w:r>
      <w:proofErr w:type="gramEnd"/>
      <w:r w:rsidRPr="00752DB4">
        <w:rPr>
          <w:rFonts w:ascii="Times New Roman" w:hAnsi="Times New Roman" w:cs="Times New Roman"/>
          <w:sz w:val="24"/>
          <w:szCs w:val="24"/>
          <w:lang w:val="en-US"/>
        </w:rPr>
        <w:fldChar w:fldCharType="begin"/>
      </w:r>
      <w:r w:rsidRPr="00752DB4">
        <w:rPr>
          <w:rFonts w:ascii="Times New Roman" w:hAnsi="Times New Roman" w:cs="Times New Roman"/>
          <w:sz w:val="24"/>
          <w:szCs w:val="24"/>
          <w:lang w:val="en-US"/>
        </w:rPr>
        <w:instrText xml:space="preserve"> HYPERLINK "https://ltccovid.org/wp-content/uploads/2020/08/COVID-19-mortality-in-long-term-care-final-Sat-29-1.pdf" </w:instrText>
      </w:r>
      <w:r w:rsidRPr="00752DB4">
        <w:rPr>
          <w:rFonts w:ascii="Times New Roman" w:hAnsi="Times New Roman" w:cs="Times New Roman"/>
          <w:sz w:val="24"/>
          <w:szCs w:val="24"/>
          <w:lang w:val="en-US"/>
        </w:rPr>
        <w:fldChar w:fldCharType="separate"/>
      </w:r>
      <w:r w:rsidRPr="00752DB4">
        <w:rPr>
          <w:rStyle w:val="Hyperlink"/>
          <w:rFonts w:ascii="Times New Roman" w:hAnsi="Times New Roman" w:cs="Times New Roman"/>
          <w:sz w:val="24"/>
          <w:szCs w:val="24"/>
          <w:lang w:val="en-US"/>
        </w:rPr>
        <w:t>https://ltccovid.org/wp-content/uploads/2020/08/COVID-19-mortality-in-long-term-care-final-Sat-29-1.pdf</w:t>
      </w:r>
      <w:r w:rsidRPr="00752DB4">
        <w:rPr>
          <w:rFonts w:ascii="Times New Roman" w:hAnsi="Times New Roman" w:cs="Times New Roman"/>
          <w:sz w:val="24"/>
          <w:szCs w:val="24"/>
          <w:lang w:val="en-US"/>
        </w:rPr>
        <w:fldChar w:fldCharType="end"/>
      </w:r>
      <w:r w:rsidRPr="00752DB4">
        <w:rPr>
          <w:rFonts w:ascii="Times New Roman" w:hAnsi="Times New Roman" w:cs="Times New Roman"/>
          <w:sz w:val="24"/>
          <w:szCs w:val="24"/>
          <w:lang w:val="en-US"/>
        </w:rPr>
        <w:t>.</w:t>
      </w:r>
    </w:p>
    <w:p w:rsidR="00752DB4" w:rsidRDefault="00752DB4" w:rsidP="005C79D9">
      <w:pPr>
        <w:spacing w:after="0" w:line="240" w:lineRule="auto"/>
        <w:jc w:val="both"/>
        <w:rPr>
          <w:rFonts w:ascii="Times New Roman" w:hAnsi="Times New Roman" w:cs="Times New Roman"/>
          <w:b/>
          <w:sz w:val="24"/>
          <w:szCs w:val="24"/>
          <w:lang w:val="en-US"/>
        </w:rPr>
      </w:pPr>
    </w:p>
    <w:p w:rsidR="001D0FEF" w:rsidRPr="00E507BF" w:rsidRDefault="001D0FEF" w:rsidP="005C79D9">
      <w:pPr>
        <w:spacing w:after="0" w:line="240" w:lineRule="auto"/>
        <w:jc w:val="both"/>
        <w:rPr>
          <w:rFonts w:ascii="Times New Roman" w:hAnsi="Times New Roman" w:cs="Times New Roman"/>
          <w:sz w:val="24"/>
          <w:szCs w:val="24"/>
          <w:lang w:val="en-US"/>
        </w:rPr>
      </w:pPr>
      <w:proofErr w:type="spellStart"/>
      <w:proofErr w:type="gramStart"/>
      <w:r w:rsidRPr="00E507BF">
        <w:rPr>
          <w:rFonts w:ascii="Times New Roman" w:hAnsi="Times New Roman" w:cs="Times New Roman"/>
          <w:sz w:val="24"/>
          <w:szCs w:val="24"/>
          <w:lang w:val="en-US"/>
        </w:rPr>
        <w:t>Binny</w:t>
      </w:r>
      <w:proofErr w:type="spellEnd"/>
      <w:r w:rsidRPr="00E507BF">
        <w:rPr>
          <w:rFonts w:ascii="Times New Roman" w:hAnsi="Times New Roman" w:cs="Times New Roman"/>
          <w:sz w:val="24"/>
          <w:szCs w:val="24"/>
          <w:lang w:val="en-US"/>
        </w:rPr>
        <w:t xml:space="preserve">, R., </w:t>
      </w:r>
      <w:r w:rsidR="00E507BF">
        <w:rPr>
          <w:rFonts w:ascii="Times New Roman" w:hAnsi="Times New Roman" w:cs="Times New Roman"/>
          <w:sz w:val="24"/>
          <w:szCs w:val="24"/>
          <w:lang w:val="en-US"/>
        </w:rPr>
        <w:t xml:space="preserve">Baker, M., Hendy, S., James, A., </w:t>
      </w:r>
      <w:proofErr w:type="spellStart"/>
      <w:r w:rsidR="00E507BF">
        <w:rPr>
          <w:rFonts w:ascii="Times New Roman" w:hAnsi="Times New Roman" w:cs="Times New Roman"/>
          <w:sz w:val="24"/>
          <w:szCs w:val="24"/>
          <w:lang w:val="en-US"/>
        </w:rPr>
        <w:t>Lustig</w:t>
      </w:r>
      <w:proofErr w:type="spellEnd"/>
      <w:r w:rsidR="00E507BF">
        <w:rPr>
          <w:rFonts w:ascii="Times New Roman" w:hAnsi="Times New Roman" w:cs="Times New Roman"/>
          <w:sz w:val="24"/>
          <w:szCs w:val="24"/>
          <w:lang w:val="en-US"/>
        </w:rPr>
        <w:t>, A., Plank, M., Ridings, K., and Steyn, N., 2020.</w:t>
      </w:r>
      <w:proofErr w:type="gramEnd"/>
      <w:r w:rsidR="00E507BF">
        <w:rPr>
          <w:rFonts w:ascii="Times New Roman" w:hAnsi="Times New Roman" w:cs="Times New Roman"/>
          <w:sz w:val="24"/>
          <w:szCs w:val="24"/>
          <w:lang w:val="en-US"/>
        </w:rPr>
        <w:t xml:space="preserve">  </w:t>
      </w:r>
      <w:proofErr w:type="gramStart"/>
      <w:r w:rsidR="00E507BF">
        <w:rPr>
          <w:rFonts w:ascii="Times New Roman" w:hAnsi="Times New Roman" w:cs="Times New Roman"/>
          <w:sz w:val="24"/>
          <w:szCs w:val="24"/>
          <w:lang w:val="en-US"/>
        </w:rPr>
        <w:t>“Early Intervention is the Key</w:t>
      </w:r>
      <w:r w:rsidR="00FC098D">
        <w:rPr>
          <w:rFonts w:ascii="Times New Roman" w:hAnsi="Times New Roman" w:cs="Times New Roman"/>
          <w:sz w:val="24"/>
          <w:szCs w:val="24"/>
          <w:lang w:val="en-US"/>
        </w:rPr>
        <w:t xml:space="preserve"> to Success in Covid-19 Control”,</w:t>
      </w:r>
      <w:r w:rsidR="00426DE2">
        <w:rPr>
          <w:rFonts w:ascii="Times New Roman" w:hAnsi="Times New Roman" w:cs="Times New Roman"/>
          <w:sz w:val="24"/>
          <w:szCs w:val="24"/>
          <w:lang w:val="en-US"/>
        </w:rPr>
        <w:t xml:space="preserve"> working paper,</w:t>
      </w:r>
      <w:r w:rsidR="00FC098D">
        <w:rPr>
          <w:rFonts w:ascii="Times New Roman" w:hAnsi="Times New Roman" w:cs="Times New Roman"/>
          <w:sz w:val="24"/>
          <w:szCs w:val="24"/>
          <w:lang w:val="en-US"/>
        </w:rPr>
        <w:t xml:space="preserve"> </w:t>
      </w:r>
      <w:hyperlink r:id="rId15" w:history="1">
        <w:r w:rsidR="00FC098D" w:rsidRPr="005E24F7">
          <w:rPr>
            <w:rStyle w:val="Hyperlink"/>
            <w:rFonts w:ascii="Times New Roman" w:hAnsi="Times New Roman" w:cs="Times New Roman"/>
            <w:sz w:val="24"/>
            <w:szCs w:val="24"/>
            <w:lang w:val="en-US"/>
          </w:rPr>
          <w:t>https://cpb-ap-se2.wpmucdn.com/blogs.auckland.ac.nz/dist/d/75/files/2020/11/Binny_et_al_Early_interventions_forTPMwebpage_9Nov.pdf</w:t>
        </w:r>
      </w:hyperlink>
      <w:r w:rsidR="00FC098D">
        <w:rPr>
          <w:rFonts w:ascii="Times New Roman" w:hAnsi="Times New Roman" w:cs="Times New Roman"/>
          <w:sz w:val="24"/>
          <w:szCs w:val="24"/>
          <w:lang w:val="en-US"/>
        </w:rPr>
        <w:t>.</w:t>
      </w:r>
      <w:proofErr w:type="gramEnd"/>
    </w:p>
    <w:p w:rsidR="001D0FEF" w:rsidRDefault="001D0FEF" w:rsidP="005C79D9">
      <w:pPr>
        <w:spacing w:after="0" w:line="240" w:lineRule="auto"/>
        <w:jc w:val="both"/>
        <w:rPr>
          <w:rFonts w:ascii="Times New Roman" w:hAnsi="Times New Roman" w:cs="Times New Roman"/>
          <w:b/>
          <w:sz w:val="24"/>
          <w:szCs w:val="24"/>
          <w:lang w:val="en-US"/>
        </w:rPr>
      </w:pPr>
    </w:p>
    <w:p w:rsidR="009A7AAE" w:rsidRPr="009A7AAE" w:rsidRDefault="009A7AAE" w:rsidP="005C79D9">
      <w:pPr>
        <w:spacing w:after="0" w:line="240" w:lineRule="auto"/>
        <w:jc w:val="both"/>
        <w:rPr>
          <w:rFonts w:ascii="Times New Roman" w:hAnsi="Times New Roman" w:cs="Times New Roman"/>
          <w:sz w:val="24"/>
          <w:szCs w:val="24"/>
          <w:lang w:val="en-US"/>
        </w:rPr>
      </w:pPr>
      <w:proofErr w:type="gramStart"/>
      <w:r w:rsidRPr="009A7AAE">
        <w:rPr>
          <w:rFonts w:ascii="Times New Roman" w:hAnsi="Times New Roman" w:cs="Times New Roman"/>
          <w:sz w:val="24"/>
          <w:szCs w:val="24"/>
          <w:lang w:val="en-US"/>
        </w:rPr>
        <w:t xml:space="preserve">Blakely, </w:t>
      </w:r>
      <w:r>
        <w:rPr>
          <w:rFonts w:ascii="Times New Roman" w:hAnsi="Times New Roman" w:cs="Times New Roman"/>
          <w:sz w:val="24"/>
          <w:szCs w:val="24"/>
          <w:lang w:val="en-US"/>
        </w:rPr>
        <w:t xml:space="preserve">T., Baker, M., and N. Wilson., </w:t>
      </w:r>
      <w:r w:rsidR="002F1220">
        <w:rPr>
          <w:rFonts w:ascii="Times New Roman" w:hAnsi="Times New Roman" w:cs="Times New Roman"/>
          <w:sz w:val="24"/>
          <w:szCs w:val="24"/>
          <w:lang w:val="en-US"/>
        </w:rPr>
        <w:t>“</w:t>
      </w:r>
      <w:r w:rsidRPr="009A7AAE">
        <w:rPr>
          <w:rFonts w:ascii="Times New Roman" w:hAnsi="Times New Roman" w:cs="Times New Roman"/>
          <w:sz w:val="24"/>
          <w:szCs w:val="24"/>
          <w:lang w:val="en-US"/>
        </w:rPr>
        <w:t xml:space="preserve">The </w:t>
      </w:r>
      <w:proofErr w:type="spellStart"/>
      <w:r w:rsidRPr="009A7AAE">
        <w:rPr>
          <w:rFonts w:ascii="Times New Roman" w:hAnsi="Times New Roman" w:cs="Times New Roman"/>
          <w:sz w:val="24"/>
          <w:szCs w:val="24"/>
          <w:lang w:val="en-US"/>
        </w:rPr>
        <w:t>Maths</w:t>
      </w:r>
      <w:proofErr w:type="spellEnd"/>
      <w:r w:rsidRPr="009A7AAE">
        <w:rPr>
          <w:rFonts w:ascii="Times New Roman" w:hAnsi="Times New Roman" w:cs="Times New Roman"/>
          <w:sz w:val="24"/>
          <w:szCs w:val="24"/>
          <w:lang w:val="en-US"/>
        </w:rPr>
        <w:t xml:space="preserve"> and Ethics of </w:t>
      </w:r>
      <w:proofErr w:type="spellStart"/>
      <w:r w:rsidRPr="009A7AAE">
        <w:rPr>
          <w:rFonts w:ascii="Times New Roman" w:hAnsi="Times New Roman" w:cs="Times New Roman"/>
          <w:sz w:val="24"/>
          <w:szCs w:val="24"/>
          <w:lang w:val="en-US"/>
        </w:rPr>
        <w:t>Minimising</w:t>
      </w:r>
      <w:proofErr w:type="spellEnd"/>
      <w:r w:rsidRPr="009A7AAE">
        <w:rPr>
          <w:rFonts w:ascii="Times New Roman" w:hAnsi="Times New Roman" w:cs="Times New Roman"/>
          <w:sz w:val="24"/>
          <w:szCs w:val="24"/>
          <w:lang w:val="en-US"/>
        </w:rPr>
        <w:t xml:space="preserve"> Covid-19 Deaths in NZ</w:t>
      </w:r>
      <w:r w:rsidR="002F122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Public Health Expert</w:t>
      </w:r>
      <w:r w:rsidR="004E376B">
        <w:rPr>
          <w:rFonts w:ascii="Times New Roman" w:hAnsi="Times New Roman" w:cs="Times New Roman"/>
          <w:i/>
          <w:sz w:val="24"/>
          <w:szCs w:val="24"/>
          <w:lang w:val="en-US"/>
        </w:rPr>
        <w:t xml:space="preserve"> 23/3/2020</w:t>
      </w:r>
      <w:r w:rsidRPr="009A7AAE">
        <w:rPr>
          <w:rFonts w:ascii="Times New Roman" w:hAnsi="Times New Roman" w:cs="Times New Roman"/>
          <w:sz w:val="24"/>
          <w:szCs w:val="24"/>
          <w:lang w:val="en-US"/>
        </w:rPr>
        <w:t xml:space="preserve"> </w:t>
      </w:r>
      <w:hyperlink r:id="rId16" w:history="1">
        <w:r w:rsidRPr="009A7AAE">
          <w:rPr>
            <w:rStyle w:val="Hyperlink"/>
            <w:rFonts w:ascii="Times New Roman" w:hAnsi="Times New Roman" w:cs="Times New Roman"/>
            <w:sz w:val="24"/>
            <w:szCs w:val="24"/>
          </w:rPr>
          <w:t>https://sciblogs.co.nz/public-health-expert/2020/03/23/the-maths-and-ethics-of-minimising-covid-19-deaths-in-nz/</w:t>
        </w:r>
      </w:hyperlink>
      <w:r>
        <w:rPr>
          <w:rFonts w:ascii="Times New Roman" w:hAnsi="Times New Roman" w:cs="Times New Roman"/>
          <w:sz w:val="24"/>
          <w:szCs w:val="24"/>
        </w:rPr>
        <w:t>.</w:t>
      </w:r>
      <w:proofErr w:type="gramEnd"/>
    </w:p>
    <w:p w:rsidR="009A7AAE" w:rsidRDefault="009A7AAE" w:rsidP="005C79D9">
      <w:pPr>
        <w:spacing w:after="0" w:line="240" w:lineRule="auto"/>
        <w:jc w:val="both"/>
        <w:rPr>
          <w:rFonts w:ascii="Times New Roman" w:hAnsi="Times New Roman" w:cs="Times New Roman"/>
          <w:b/>
          <w:sz w:val="24"/>
          <w:szCs w:val="24"/>
          <w:lang w:val="en-US"/>
        </w:rPr>
      </w:pPr>
    </w:p>
    <w:p w:rsidR="0019498F" w:rsidRDefault="0019498F" w:rsidP="005C79D9">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Boyd, M., 2020.</w:t>
      </w:r>
      <w:proofErr w:type="gramEnd"/>
      <w:r>
        <w:rPr>
          <w:rFonts w:ascii="Times New Roman" w:hAnsi="Times New Roman" w:cs="Times New Roman"/>
          <w:sz w:val="24"/>
          <w:szCs w:val="24"/>
          <w:lang w:val="en-US"/>
        </w:rPr>
        <w:t xml:space="preserve">  </w:t>
      </w:r>
      <w:r w:rsidR="002F1220">
        <w:rPr>
          <w:rFonts w:ascii="Times New Roman" w:hAnsi="Times New Roman" w:cs="Times New Roman"/>
          <w:sz w:val="24"/>
          <w:szCs w:val="24"/>
          <w:lang w:val="en-US"/>
        </w:rPr>
        <w:t>“</w:t>
      </w:r>
      <w:r>
        <w:rPr>
          <w:rFonts w:ascii="Times New Roman" w:hAnsi="Times New Roman" w:cs="Times New Roman"/>
          <w:sz w:val="24"/>
          <w:szCs w:val="24"/>
          <w:lang w:val="en-US"/>
        </w:rPr>
        <w:t>The Stakes of Mismanaging Covid-19: Modelling the Possible Health System and Long-Term Economic Impacts in New Zealand using Treasury’s CBAX Method</w:t>
      </w:r>
      <w:r w:rsidR="002F1220">
        <w:rPr>
          <w:rFonts w:ascii="Times New Roman" w:hAnsi="Times New Roman" w:cs="Times New Roman"/>
          <w:sz w:val="24"/>
          <w:szCs w:val="24"/>
          <w:lang w:val="en-US"/>
        </w:rPr>
        <w:t>”</w:t>
      </w:r>
      <w:r>
        <w:rPr>
          <w:rFonts w:ascii="Times New Roman" w:hAnsi="Times New Roman" w:cs="Times New Roman"/>
          <w:sz w:val="24"/>
          <w:szCs w:val="24"/>
          <w:lang w:val="en-US"/>
        </w:rPr>
        <w:t>, working paper</w:t>
      </w:r>
      <w:r w:rsidR="00C700C3">
        <w:rPr>
          <w:rFonts w:ascii="Times New Roman" w:hAnsi="Times New Roman" w:cs="Times New Roman"/>
          <w:sz w:val="24"/>
          <w:szCs w:val="24"/>
          <w:lang w:val="en-US"/>
        </w:rPr>
        <w:t xml:space="preserve">, </w:t>
      </w:r>
      <w:hyperlink r:id="rId17" w:history="1">
        <w:r w:rsidR="00C700C3" w:rsidRPr="001C23E2">
          <w:rPr>
            <w:rStyle w:val="Hyperlink"/>
            <w:rFonts w:ascii="Times New Roman" w:hAnsi="Times New Roman" w:cs="Times New Roman"/>
            <w:sz w:val="24"/>
            <w:szCs w:val="24"/>
            <w:lang w:val="en-US"/>
          </w:rPr>
          <w:t>https://adaptresearch.files.wordpress.com/2020/03/200318_v2_manuscript-modelling-the-economic-impact-of-covid_19.pdf</w:t>
        </w:r>
      </w:hyperlink>
      <w:r>
        <w:rPr>
          <w:rFonts w:ascii="Times New Roman" w:hAnsi="Times New Roman" w:cs="Times New Roman"/>
          <w:sz w:val="24"/>
          <w:szCs w:val="24"/>
          <w:lang w:val="en-US"/>
        </w:rPr>
        <w:t>.</w:t>
      </w:r>
    </w:p>
    <w:p w:rsidR="007A7A16" w:rsidRDefault="007A7A16" w:rsidP="005C79D9">
      <w:pPr>
        <w:spacing w:after="0" w:line="240" w:lineRule="auto"/>
        <w:jc w:val="both"/>
        <w:rPr>
          <w:rFonts w:ascii="Times New Roman" w:hAnsi="Times New Roman" w:cs="Times New Roman"/>
          <w:sz w:val="24"/>
          <w:szCs w:val="24"/>
          <w:lang w:val="en-US"/>
        </w:rPr>
      </w:pPr>
    </w:p>
    <w:p w:rsidR="007A7A16" w:rsidRPr="00D25C72" w:rsidRDefault="007A7A16" w:rsidP="005C79D9">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_______, </w:t>
      </w:r>
      <w:proofErr w:type="spellStart"/>
      <w:r w:rsidR="00D25C72">
        <w:rPr>
          <w:rFonts w:ascii="Times New Roman" w:hAnsi="Times New Roman" w:cs="Times New Roman"/>
          <w:sz w:val="24"/>
          <w:szCs w:val="24"/>
          <w:lang w:val="en-US"/>
        </w:rPr>
        <w:t>Kvizhinadze</w:t>
      </w:r>
      <w:proofErr w:type="spellEnd"/>
      <w:r w:rsidR="00D25C72">
        <w:rPr>
          <w:rFonts w:ascii="Times New Roman" w:hAnsi="Times New Roman" w:cs="Times New Roman"/>
          <w:sz w:val="24"/>
          <w:szCs w:val="24"/>
          <w:lang w:val="en-US"/>
        </w:rPr>
        <w:t>, G., Kho, A., Wilson, G., and Wilson, N., 2019.</w:t>
      </w:r>
      <w:proofErr w:type="gramEnd"/>
      <w:r w:rsidR="00D25C72">
        <w:rPr>
          <w:rFonts w:ascii="Times New Roman" w:hAnsi="Times New Roman" w:cs="Times New Roman"/>
          <w:sz w:val="24"/>
          <w:szCs w:val="24"/>
          <w:lang w:val="en-US"/>
        </w:rPr>
        <w:t xml:space="preserve">  “Cataract Surgery for Falls Prevention and Improving Vision: Modelling the Health Gain, Health System Costs and Cost-Effectiveness in a High-Income Country”, </w:t>
      </w:r>
      <w:r w:rsidR="00D25C72">
        <w:rPr>
          <w:rFonts w:ascii="Times New Roman" w:hAnsi="Times New Roman" w:cs="Times New Roman"/>
          <w:i/>
          <w:sz w:val="24"/>
          <w:szCs w:val="24"/>
          <w:lang w:val="en-US"/>
        </w:rPr>
        <w:t>Injury Prevention</w:t>
      </w:r>
      <w:r w:rsidR="00D25C72">
        <w:rPr>
          <w:rFonts w:ascii="Times New Roman" w:hAnsi="Times New Roman" w:cs="Times New Roman"/>
          <w:sz w:val="24"/>
          <w:szCs w:val="24"/>
          <w:lang w:val="en-US"/>
        </w:rPr>
        <w:t>, vol. 26, Issue 4</w:t>
      </w:r>
      <w:r w:rsidR="002F538D">
        <w:rPr>
          <w:rFonts w:ascii="Times New Roman" w:hAnsi="Times New Roman" w:cs="Times New Roman"/>
          <w:sz w:val="24"/>
          <w:szCs w:val="24"/>
          <w:lang w:val="en-US"/>
        </w:rPr>
        <w:t>, pp. 302-309</w:t>
      </w:r>
      <w:proofErr w:type="gramStart"/>
      <w:r w:rsidR="002F538D">
        <w:rPr>
          <w:rFonts w:ascii="Times New Roman" w:hAnsi="Times New Roman" w:cs="Times New Roman"/>
          <w:sz w:val="24"/>
          <w:szCs w:val="24"/>
          <w:lang w:val="en-US"/>
        </w:rPr>
        <w:t>,</w:t>
      </w:r>
      <w:r w:rsidR="00D25C72">
        <w:rPr>
          <w:rFonts w:ascii="Times New Roman" w:hAnsi="Times New Roman" w:cs="Times New Roman"/>
          <w:sz w:val="24"/>
          <w:szCs w:val="24"/>
          <w:lang w:val="en-US"/>
        </w:rPr>
        <w:t xml:space="preserve"> </w:t>
      </w:r>
      <w:r w:rsidR="002F538D">
        <w:rPr>
          <w:rFonts w:ascii="Times New Roman" w:hAnsi="Times New Roman" w:cs="Times New Roman"/>
          <w:sz w:val="24"/>
          <w:szCs w:val="24"/>
          <w:lang w:val="en-US"/>
        </w:rPr>
        <w:t xml:space="preserve"> </w:t>
      </w:r>
      <w:proofErr w:type="gramEnd"/>
      <w:r w:rsidR="00D25C72">
        <w:rPr>
          <w:rFonts w:ascii="Times New Roman" w:hAnsi="Times New Roman" w:cs="Times New Roman"/>
          <w:sz w:val="24"/>
          <w:szCs w:val="24"/>
          <w:lang w:val="en-US"/>
        </w:rPr>
        <w:fldChar w:fldCharType="begin"/>
      </w:r>
      <w:r w:rsidR="00D25C72">
        <w:rPr>
          <w:rFonts w:ascii="Times New Roman" w:hAnsi="Times New Roman" w:cs="Times New Roman"/>
          <w:sz w:val="24"/>
          <w:szCs w:val="24"/>
          <w:lang w:val="en-US"/>
        </w:rPr>
        <w:instrText xml:space="preserve"> HYPERLINK "</w:instrText>
      </w:r>
      <w:r w:rsidR="00D25C72" w:rsidRPr="00D25C72">
        <w:rPr>
          <w:rFonts w:ascii="Times New Roman" w:hAnsi="Times New Roman" w:cs="Times New Roman"/>
          <w:sz w:val="24"/>
          <w:szCs w:val="24"/>
          <w:lang w:val="en-US"/>
        </w:rPr>
        <w:instrText>https://injuryprevention.bmj.com/content/26/4/302</w:instrText>
      </w:r>
      <w:r w:rsidR="00D25C72">
        <w:rPr>
          <w:rFonts w:ascii="Times New Roman" w:hAnsi="Times New Roman" w:cs="Times New Roman"/>
          <w:sz w:val="24"/>
          <w:szCs w:val="24"/>
          <w:lang w:val="en-US"/>
        </w:rPr>
        <w:instrText xml:space="preserve">" </w:instrText>
      </w:r>
      <w:r w:rsidR="00D25C72">
        <w:rPr>
          <w:rFonts w:ascii="Times New Roman" w:hAnsi="Times New Roman" w:cs="Times New Roman"/>
          <w:sz w:val="24"/>
          <w:szCs w:val="24"/>
          <w:lang w:val="en-US"/>
        </w:rPr>
        <w:fldChar w:fldCharType="separate"/>
      </w:r>
      <w:r w:rsidR="00D25C72" w:rsidRPr="00933AA3">
        <w:rPr>
          <w:rStyle w:val="Hyperlink"/>
          <w:rFonts w:ascii="Times New Roman" w:hAnsi="Times New Roman" w:cs="Times New Roman"/>
          <w:sz w:val="24"/>
          <w:szCs w:val="24"/>
          <w:lang w:val="en-US"/>
        </w:rPr>
        <w:t>https://injuryprevention.bmj.com/content/26/4/302</w:t>
      </w:r>
      <w:r w:rsidR="00D25C72">
        <w:rPr>
          <w:rFonts w:ascii="Times New Roman" w:hAnsi="Times New Roman" w:cs="Times New Roman"/>
          <w:sz w:val="24"/>
          <w:szCs w:val="24"/>
          <w:lang w:val="en-US"/>
        </w:rPr>
        <w:fldChar w:fldCharType="end"/>
      </w:r>
      <w:r w:rsidR="00D25C72">
        <w:rPr>
          <w:rFonts w:ascii="Times New Roman" w:hAnsi="Times New Roman" w:cs="Times New Roman"/>
          <w:sz w:val="24"/>
          <w:szCs w:val="24"/>
          <w:lang w:val="en-US"/>
        </w:rPr>
        <w:t>.</w:t>
      </w:r>
    </w:p>
    <w:p w:rsidR="0019498F" w:rsidRDefault="0019498F" w:rsidP="005C79D9">
      <w:pPr>
        <w:spacing w:after="0" w:line="240" w:lineRule="auto"/>
        <w:jc w:val="both"/>
        <w:rPr>
          <w:rFonts w:ascii="Times New Roman" w:hAnsi="Times New Roman" w:cs="Times New Roman"/>
          <w:b/>
          <w:sz w:val="24"/>
          <w:szCs w:val="24"/>
          <w:lang w:val="en-US"/>
        </w:rPr>
      </w:pPr>
    </w:p>
    <w:p w:rsidR="001A0B6C" w:rsidRPr="00810E51" w:rsidRDefault="001A0B6C" w:rsidP="005C79D9">
      <w:pPr>
        <w:spacing w:after="0" w:line="240" w:lineRule="auto"/>
        <w:jc w:val="both"/>
        <w:rPr>
          <w:rFonts w:ascii="Times New Roman" w:hAnsi="Times New Roman" w:cs="Times New Roman"/>
          <w:sz w:val="24"/>
          <w:szCs w:val="24"/>
          <w:lang w:val="en-US"/>
        </w:rPr>
      </w:pPr>
      <w:proofErr w:type="gramStart"/>
      <w:r w:rsidRPr="00F241AD">
        <w:rPr>
          <w:rFonts w:ascii="Times New Roman" w:hAnsi="Times New Roman" w:cs="Times New Roman"/>
          <w:sz w:val="24"/>
          <w:szCs w:val="24"/>
          <w:lang w:val="en-US"/>
        </w:rPr>
        <w:lastRenderedPageBreak/>
        <w:t xml:space="preserve">_______, </w:t>
      </w:r>
      <w:proofErr w:type="spellStart"/>
      <w:r w:rsidR="00F241AD">
        <w:rPr>
          <w:rFonts w:ascii="Times New Roman" w:hAnsi="Times New Roman" w:cs="Times New Roman"/>
          <w:sz w:val="24"/>
          <w:szCs w:val="24"/>
          <w:lang w:val="en-US"/>
        </w:rPr>
        <w:t>Mansoor</w:t>
      </w:r>
      <w:proofErr w:type="spellEnd"/>
      <w:r w:rsidR="00F241AD">
        <w:rPr>
          <w:rFonts w:ascii="Times New Roman" w:hAnsi="Times New Roman" w:cs="Times New Roman"/>
          <w:sz w:val="24"/>
          <w:szCs w:val="24"/>
          <w:lang w:val="en-US"/>
        </w:rPr>
        <w:t>, O., Baker, M., and Wilson, N., 2018.</w:t>
      </w:r>
      <w:proofErr w:type="gramEnd"/>
      <w:r w:rsidR="00F241AD">
        <w:rPr>
          <w:rFonts w:ascii="Times New Roman" w:hAnsi="Times New Roman" w:cs="Times New Roman"/>
          <w:sz w:val="24"/>
          <w:szCs w:val="24"/>
          <w:lang w:val="en-US"/>
        </w:rPr>
        <w:t xml:space="preserve">  </w:t>
      </w:r>
      <w:proofErr w:type="gramStart"/>
      <w:r w:rsidR="00F241AD">
        <w:rPr>
          <w:rFonts w:ascii="Times New Roman" w:hAnsi="Times New Roman" w:cs="Times New Roman"/>
          <w:sz w:val="24"/>
          <w:szCs w:val="24"/>
          <w:lang w:val="en-US"/>
        </w:rPr>
        <w:t>“Economic Evaluation of Border Closure for a Generic Severe</w:t>
      </w:r>
      <w:r w:rsidR="00BC5140">
        <w:rPr>
          <w:rFonts w:ascii="Times New Roman" w:hAnsi="Times New Roman" w:cs="Times New Roman"/>
          <w:sz w:val="24"/>
          <w:szCs w:val="24"/>
          <w:lang w:val="en-US"/>
        </w:rPr>
        <w:t xml:space="preserve"> Pandemic Threat using New Zealand Treasury Methods”, </w:t>
      </w:r>
      <w:proofErr w:type="spellStart"/>
      <w:r w:rsidR="00810E51">
        <w:rPr>
          <w:rFonts w:ascii="Times New Roman" w:hAnsi="Times New Roman" w:cs="Times New Roman"/>
          <w:i/>
          <w:sz w:val="24"/>
          <w:szCs w:val="24"/>
          <w:lang w:val="en-US"/>
        </w:rPr>
        <w:t>Aust</w:t>
      </w:r>
      <w:proofErr w:type="spellEnd"/>
      <w:r w:rsidR="00810E51">
        <w:rPr>
          <w:rFonts w:ascii="Times New Roman" w:hAnsi="Times New Roman" w:cs="Times New Roman"/>
          <w:i/>
          <w:sz w:val="24"/>
          <w:szCs w:val="24"/>
          <w:lang w:val="en-US"/>
        </w:rPr>
        <w:t xml:space="preserve"> NZ J Public Health</w:t>
      </w:r>
      <w:r w:rsidR="00810E51">
        <w:rPr>
          <w:rFonts w:ascii="Times New Roman" w:hAnsi="Times New Roman" w:cs="Times New Roman"/>
          <w:sz w:val="24"/>
          <w:szCs w:val="24"/>
          <w:lang w:val="en-US"/>
        </w:rPr>
        <w:t>, vol. 42, pp. 444-446</w:t>
      </w:r>
      <w:r w:rsidR="004315D2">
        <w:rPr>
          <w:rFonts w:ascii="Times New Roman" w:hAnsi="Times New Roman" w:cs="Times New Roman"/>
          <w:sz w:val="24"/>
          <w:szCs w:val="24"/>
          <w:lang w:val="en-US"/>
        </w:rPr>
        <w:t xml:space="preserve">, </w:t>
      </w:r>
      <w:hyperlink r:id="rId18" w:history="1">
        <w:r w:rsidR="00AC1950" w:rsidRPr="00C044C2">
          <w:rPr>
            <w:rStyle w:val="Hyperlink"/>
            <w:rFonts w:ascii="Times New Roman" w:hAnsi="Times New Roman" w:cs="Times New Roman"/>
            <w:sz w:val="24"/>
            <w:szCs w:val="24"/>
            <w:lang w:val="en-US"/>
          </w:rPr>
          <w:t>https://onlinelibrary.wiley.com/doi/full/10.1111/1753-6405.12818</w:t>
        </w:r>
      </w:hyperlink>
      <w:r w:rsidR="00810E51">
        <w:rPr>
          <w:rFonts w:ascii="Times New Roman" w:hAnsi="Times New Roman" w:cs="Times New Roman"/>
          <w:sz w:val="24"/>
          <w:szCs w:val="24"/>
          <w:lang w:val="en-US"/>
        </w:rPr>
        <w:t>.</w:t>
      </w:r>
      <w:proofErr w:type="gramEnd"/>
    </w:p>
    <w:p w:rsidR="001A0B6C" w:rsidRDefault="001A0B6C" w:rsidP="005C79D9">
      <w:pPr>
        <w:spacing w:after="0" w:line="240" w:lineRule="auto"/>
        <w:jc w:val="both"/>
        <w:rPr>
          <w:rFonts w:ascii="Times New Roman" w:hAnsi="Times New Roman" w:cs="Times New Roman"/>
          <w:b/>
          <w:sz w:val="24"/>
          <w:szCs w:val="24"/>
          <w:lang w:val="en-US"/>
        </w:rPr>
      </w:pPr>
    </w:p>
    <w:p w:rsidR="00123B78" w:rsidRPr="00123B78" w:rsidRDefault="00123B78" w:rsidP="005C79D9">
      <w:pPr>
        <w:spacing w:after="0" w:line="240" w:lineRule="auto"/>
        <w:jc w:val="both"/>
        <w:rPr>
          <w:rFonts w:ascii="Times New Roman" w:hAnsi="Times New Roman" w:cs="Times New Roman"/>
          <w:sz w:val="24"/>
          <w:szCs w:val="24"/>
          <w:lang w:val="en-US"/>
        </w:rPr>
      </w:pPr>
      <w:proofErr w:type="gramStart"/>
      <w:r w:rsidRPr="00123B78">
        <w:rPr>
          <w:rFonts w:ascii="Times New Roman" w:hAnsi="Times New Roman" w:cs="Times New Roman"/>
          <w:sz w:val="24"/>
          <w:szCs w:val="24"/>
          <w:lang w:val="en-US"/>
        </w:rPr>
        <w:t>Chapple, S., 2020.</w:t>
      </w:r>
      <w:proofErr w:type="gramEnd"/>
      <w:r w:rsidRPr="00123B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“Covid-19: </w:t>
      </w:r>
      <w:r w:rsidRPr="00123B78">
        <w:rPr>
          <w:rFonts w:ascii="Times New Roman" w:hAnsi="Times New Roman" w:cs="Times New Roman"/>
          <w:sz w:val="24"/>
          <w:szCs w:val="24"/>
          <w:lang w:val="en-US"/>
        </w:rPr>
        <w:t xml:space="preserve">How Much is a </w:t>
      </w:r>
      <w:r>
        <w:rPr>
          <w:rFonts w:ascii="Times New Roman" w:hAnsi="Times New Roman" w:cs="Times New Roman"/>
          <w:sz w:val="24"/>
          <w:szCs w:val="24"/>
          <w:lang w:val="en-US"/>
        </w:rPr>
        <w:t xml:space="preserve">NZ Life Worth”, </w:t>
      </w:r>
      <w:proofErr w:type="spellStart"/>
      <w:r w:rsidRPr="00123B78">
        <w:rPr>
          <w:rFonts w:ascii="Times New Roman" w:hAnsi="Times New Roman" w:cs="Times New Roman"/>
          <w:i/>
          <w:sz w:val="24"/>
          <w:szCs w:val="24"/>
          <w:lang w:val="en-US"/>
        </w:rPr>
        <w:t>Ideasroom</w:t>
      </w:r>
      <w:proofErr w:type="spellEnd"/>
      <w:r>
        <w:rPr>
          <w:rFonts w:ascii="Times New Roman" w:hAnsi="Times New Roman" w:cs="Times New Roman"/>
          <w:sz w:val="24"/>
          <w:szCs w:val="24"/>
          <w:lang w:val="en-US"/>
        </w:rPr>
        <w:t xml:space="preserve">, </w:t>
      </w:r>
      <w:hyperlink r:id="rId19" w:history="1">
        <w:r w:rsidRPr="00D479C4">
          <w:rPr>
            <w:rStyle w:val="Hyperlink"/>
            <w:rFonts w:ascii="Times New Roman" w:hAnsi="Times New Roman" w:cs="Times New Roman"/>
            <w:sz w:val="24"/>
            <w:szCs w:val="24"/>
            <w:lang w:val="en-US"/>
          </w:rPr>
          <w:t>https://www.newsroom.co.nz/ideasroom/2020/03/17/1087345/how-much-is-a-nz-life-worth</w:t>
        </w:r>
      </w:hyperlink>
      <w:r>
        <w:rPr>
          <w:rFonts w:ascii="Times New Roman" w:hAnsi="Times New Roman" w:cs="Times New Roman"/>
          <w:sz w:val="24"/>
          <w:szCs w:val="24"/>
          <w:lang w:val="en-US"/>
        </w:rPr>
        <w:t>.</w:t>
      </w:r>
    </w:p>
    <w:p w:rsidR="00123B78" w:rsidRDefault="00123B78" w:rsidP="005C79D9">
      <w:pPr>
        <w:spacing w:after="0" w:line="240" w:lineRule="auto"/>
        <w:jc w:val="both"/>
        <w:rPr>
          <w:rFonts w:ascii="Times New Roman" w:hAnsi="Times New Roman" w:cs="Times New Roman"/>
          <w:b/>
          <w:sz w:val="24"/>
          <w:szCs w:val="24"/>
          <w:lang w:val="en-US"/>
        </w:rPr>
      </w:pPr>
    </w:p>
    <w:p w:rsidR="005B5662" w:rsidRPr="00AB4E40" w:rsidRDefault="005B5662" w:rsidP="005C79D9">
      <w:pPr>
        <w:spacing w:after="0" w:line="240" w:lineRule="auto"/>
        <w:jc w:val="both"/>
        <w:rPr>
          <w:rFonts w:ascii="Times New Roman" w:hAnsi="Times New Roman" w:cs="Times New Roman"/>
          <w:sz w:val="24"/>
          <w:szCs w:val="24"/>
          <w:lang w:val="en-US"/>
        </w:rPr>
      </w:pPr>
      <w:r w:rsidRPr="005B5662">
        <w:rPr>
          <w:rFonts w:ascii="Times New Roman" w:hAnsi="Times New Roman" w:cs="Times New Roman"/>
          <w:sz w:val="24"/>
          <w:szCs w:val="24"/>
          <w:lang w:val="en-US"/>
        </w:rPr>
        <w:t>Chaudhry</w:t>
      </w:r>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Dranitsaris</w:t>
      </w:r>
      <w:proofErr w:type="spellEnd"/>
      <w:r>
        <w:rPr>
          <w:rFonts w:ascii="Times New Roman" w:hAnsi="Times New Roman" w:cs="Times New Roman"/>
          <w:sz w:val="24"/>
          <w:szCs w:val="24"/>
          <w:lang w:val="en-US"/>
        </w:rPr>
        <w:t>, G.,</w:t>
      </w:r>
      <w:r w:rsidR="00AB4E40">
        <w:rPr>
          <w:rFonts w:ascii="Times New Roman" w:hAnsi="Times New Roman" w:cs="Times New Roman"/>
          <w:sz w:val="24"/>
          <w:szCs w:val="24"/>
          <w:lang w:val="en-US"/>
        </w:rPr>
        <w:t xml:space="preserve"> and </w:t>
      </w:r>
      <w:proofErr w:type="spellStart"/>
      <w:r w:rsidR="00AB4E40">
        <w:rPr>
          <w:rFonts w:ascii="Times New Roman" w:hAnsi="Times New Roman" w:cs="Times New Roman"/>
          <w:sz w:val="24"/>
          <w:szCs w:val="24"/>
          <w:lang w:val="en-US"/>
        </w:rPr>
        <w:t>Mubashir</w:t>
      </w:r>
      <w:proofErr w:type="spellEnd"/>
      <w:r w:rsidR="00AB4E40">
        <w:rPr>
          <w:rFonts w:ascii="Times New Roman" w:hAnsi="Times New Roman" w:cs="Times New Roman"/>
          <w:sz w:val="24"/>
          <w:szCs w:val="24"/>
          <w:lang w:val="en-US"/>
        </w:rPr>
        <w:t>, T.,</w:t>
      </w:r>
      <w:r>
        <w:rPr>
          <w:rFonts w:ascii="Times New Roman" w:hAnsi="Times New Roman" w:cs="Times New Roman"/>
          <w:sz w:val="24"/>
          <w:szCs w:val="24"/>
          <w:lang w:val="en-US"/>
        </w:rPr>
        <w:t xml:space="preserve"> “A Country Level Analysis Measuring the Impact of Government Actions, Country Preparedness and Socioeconomic Factors on Covid-19 Mortality and Related Health Outcomes”, </w:t>
      </w:r>
      <w:r w:rsidR="00AB4E40">
        <w:rPr>
          <w:rFonts w:ascii="Times New Roman" w:hAnsi="Times New Roman" w:cs="Times New Roman"/>
          <w:i/>
          <w:sz w:val="24"/>
          <w:szCs w:val="24"/>
          <w:lang w:val="en-US"/>
        </w:rPr>
        <w:t>E Clinical Medicine</w:t>
      </w:r>
      <w:r w:rsidR="00AB4E40">
        <w:rPr>
          <w:rFonts w:ascii="Times New Roman" w:hAnsi="Times New Roman" w:cs="Times New Roman"/>
          <w:sz w:val="24"/>
          <w:szCs w:val="24"/>
          <w:lang w:val="en-US"/>
        </w:rPr>
        <w:t xml:space="preserve">, </w:t>
      </w:r>
      <w:hyperlink r:id="rId20" w:history="1">
        <w:r w:rsidR="00AB4E40" w:rsidRPr="00D479C4">
          <w:rPr>
            <w:rStyle w:val="Hyperlink"/>
            <w:rFonts w:ascii="Times New Roman" w:hAnsi="Times New Roman" w:cs="Times New Roman"/>
            <w:sz w:val="24"/>
            <w:szCs w:val="24"/>
            <w:lang w:val="en-US"/>
          </w:rPr>
          <w:t>https://www.thelancet.com/journals/eclinm/article/PIIS2589-5370(20)30208-X/fulltext</w:t>
        </w:r>
      </w:hyperlink>
      <w:r w:rsidR="00AB4E40">
        <w:rPr>
          <w:rFonts w:ascii="Times New Roman" w:hAnsi="Times New Roman" w:cs="Times New Roman"/>
          <w:sz w:val="24"/>
          <w:szCs w:val="24"/>
          <w:lang w:val="en-US"/>
        </w:rPr>
        <w:t>.</w:t>
      </w:r>
    </w:p>
    <w:p w:rsidR="005B5662" w:rsidRDefault="005B5662" w:rsidP="005C79D9">
      <w:pPr>
        <w:spacing w:after="0" w:line="240" w:lineRule="auto"/>
        <w:jc w:val="both"/>
        <w:rPr>
          <w:rFonts w:ascii="Times New Roman" w:hAnsi="Times New Roman" w:cs="Times New Roman"/>
          <w:b/>
          <w:sz w:val="24"/>
          <w:szCs w:val="24"/>
          <w:lang w:val="en-US"/>
        </w:rPr>
      </w:pPr>
    </w:p>
    <w:p w:rsidR="002F1220" w:rsidRPr="002F1220" w:rsidRDefault="002F1220" w:rsidP="005C79D9">
      <w:pPr>
        <w:spacing w:after="0" w:line="240" w:lineRule="auto"/>
        <w:jc w:val="both"/>
        <w:rPr>
          <w:rFonts w:ascii="Times New Roman" w:hAnsi="Times New Roman" w:cs="Times New Roman"/>
          <w:sz w:val="24"/>
          <w:szCs w:val="24"/>
          <w:lang w:val="en-US"/>
        </w:rPr>
      </w:pPr>
      <w:r w:rsidRPr="002F1220">
        <w:rPr>
          <w:rFonts w:ascii="Times New Roman" w:hAnsi="Times New Roman" w:cs="Times New Roman"/>
          <w:sz w:val="24"/>
          <w:szCs w:val="24"/>
          <w:lang w:val="en-US"/>
        </w:rPr>
        <w:t xml:space="preserve">Conover, C., 2020.  </w:t>
      </w:r>
      <w:r w:rsidRPr="002F1220">
        <w:rPr>
          <w:rFonts w:ascii="Times New Roman" w:hAnsi="Times New Roman" w:cs="Times New Roman"/>
          <w:i/>
          <w:sz w:val="24"/>
          <w:szCs w:val="24"/>
          <w:lang w:val="en-US"/>
        </w:rPr>
        <w:t>How Economists Calculate the Costs and Benefits of Covid-19 Lockdowns</w:t>
      </w:r>
      <w:r>
        <w:rPr>
          <w:rFonts w:ascii="Times New Roman" w:hAnsi="Times New Roman" w:cs="Times New Roman"/>
          <w:sz w:val="24"/>
          <w:szCs w:val="24"/>
          <w:lang w:val="en-US"/>
        </w:rPr>
        <w:t>,</w:t>
      </w:r>
      <w:r w:rsidRPr="002F1220">
        <w:rPr>
          <w:rFonts w:ascii="Times New Roman" w:hAnsi="Times New Roman" w:cs="Times New Roman"/>
          <w:sz w:val="24"/>
          <w:szCs w:val="24"/>
          <w:lang w:val="en-US"/>
        </w:rPr>
        <w:t xml:space="preserve"> </w:t>
      </w:r>
      <w:hyperlink r:id="rId21" w:anchor="59efa9986f63" w:history="1">
        <w:r w:rsidRPr="002F1220">
          <w:rPr>
            <w:rStyle w:val="Hyperlink"/>
            <w:rFonts w:ascii="Times New Roman" w:hAnsi="Times New Roman" w:cs="Times New Roman"/>
            <w:sz w:val="24"/>
            <w:szCs w:val="24"/>
          </w:rPr>
          <w:t>https://www.forbes.com/sites/theapothecary/2020/03/27/how-economists-calculate-the-costs-and-benefits-of-covid-19-lockdowns/#59efa9986f63</w:t>
        </w:r>
      </w:hyperlink>
      <w:r w:rsidRPr="002F1220">
        <w:rPr>
          <w:rFonts w:ascii="Times New Roman" w:hAnsi="Times New Roman" w:cs="Times New Roman"/>
          <w:sz w:val="24"/>
          <w:szCs w:val="24"/>
        </w:rPr>
        <w:t>.</w:t>
      </w:r>
    </w:p>
    <w:p w:rsidR="002F1220" w:rsidRDefault="002F1220" w:rsidP="005C79D9">
      <w:pPr>
        <w:spacing w:after="0" w:line="240" w:lineRule="auto"/>
        <w:jc w:val="both"/>
        <w:rPr>
          <w:rFonts w:ascii="Times New Roman" w:hAnsi="Times New Roman" w:cs="Times New Roman"/>
          <w:b/>
          <w:sz w:val="24"/>
          <w:szCs w:val="24"/>
          <w:lang w:val="en-US"/>
        </w:rPr>
      </w:pPr>
    </w:p>
    <w:p w:rsidR="00110493" w:rsidRPr="00110493" w:rsidRDefault="00110493" w:rsidP="005C79D9">
      <w:pPr>
        <w:spacing w:after="0" w:line="240" w:lineRule="auto"/>
        <w:jc w:val="both"/>
        <w:rPr>
          <w:rFonts w:ascii="Times New Roman" w:hAnsi="Times New Roman" w:cs="Times New Roman"/>
          <w:sz w:val="24"/>
          <w:szCs w:val="24"/>
          <w:lang w:val="en-US"/>
        </w:rPr>
      </w:pPr>
      <w:proofErr w:type="spellStart"/>
      <w:proofErr w:type="gramStart"/>
      <w:r w:rsidRPr="00110493">
        <w:rPr>
          <w:rFonts w:ascii="Times New Roman" w:hAnsi="Times New Roman" w:cs="Times New Roman"/>
          <w:sz w:val="24"/>
          <w:szCs w:val="24"/>
          <w:lang w:val="en-US"/>
        </w:rPr>
        <w:t>Couzin</w:t>
      </w:r>
      <w:proofErr w:type="spellEnd"/>
      <w:r w:rsidRPr="00110493">
        <w:rPr>
          <w:rFonts w:ascii="Times New Roman" w:hAnsi="Times New Roman" w:cs="Times New Roman"/>
          <w:sz w:val="24"/>
          <w:szCs w:val="24"/>
          <w:lang w:val="en-US"/>
        </w:rPr>
        <w:t xml:space="preserve">-Frankel, </w:t>
      </w:r>
      <w:r>
        <w:rPr>
          <w:rFonts w:ascii="Times New Roman" w:hAnsi="Times New Roman" w:cs="Times New Roman"/>
          <w:sz w:val="24"/>
          <w:szCs w:val="24"/>
          <w:lang w:val="en-US"/>
        </w:rPr>
        <w:t>J., 2020.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“From Brain Fog to Heart Damage”, </w:t>
      </w:r>
      <w:r>
        <w:rPr>
          <w:rFonts w:ascii="Times New Roman" w:hAnsi="Times New Roman" w:cs="Times New Roman"/>
          <w:i/>
          <w:sz w:val="24"/>
          <w:szCs w:val="24"/>
          <w:lang w:val="en-US"/>
        </w:rPr>
        <w:t>Science Magazine</w:t>
      </w:r>
      <w:r>
        <w:rPr>
          <w:rFonts w:ascii="Times New Roman" w:hAnsi="Times New Roman" w:cs="Times New Roman"/>
          <w:sz w:val="24"/>
          <w:szCs w:val="24"/>
          <w:lang w:val="en-US"/>
        </w:rPr>
        <w:t xml:space="preserve">, </w:t>
      </w:r>
      <w:hyperlink r:id="rId22" w:history="1">
        <w:r w:rsidRPr="00F31AC5">
          <w:rPr>
            <w:rStyle w:val="Hyperlink"/>
            <w:rFonts w:ascii="Times New Roman" w:hAnsi="Times New Roman" w:cs="Times New Roman"/>
            <w:sz w:val="24"/>
            <w:szCs w:val="24"/>
            <w:lang w:val="en-US"/>
          </w:rPr>
          <w:t>https://www.sciencemag.org/news/2020/07/brain-fog-heart-damage-covid-19-s-lingering-problems-alarm-scientists</w:t>
        </w:r>
      </w:hyperlink>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110493" w:rsidRDefault="00110493" w:rsidP="005C79D9">
      <w:pPr>
        <w:spacing w:after="0" w:line="240" w:lineRule="auto"/>
        <w:jc w:val="both"/>
        <w:rPr>
          <w:rFonts w:ascii="Times New Roman" w:hAnsi="Times New Roman" w:cs="Times New Roman"/>
          <w:b/>
          <w:sz w:val="24"/>
          <w:szCs w:val="24"/>
          <w:lang w:val="en-US"/>
        </w:rPr>
      </w:pPr>
    </w:p>
    <w:p w:rsidR="0080321D" w:rsidRPr="0080321D" w:rsidRDefault="0080321D" w:rsidP="005C79D9">
      <w:pPr>
        <w:spacing w:after="0" w:line="240" w:lineRule="auto"/>
        <w:jc w:val="both"/>
        <w:rPr>
          <w:rFonts w:ascii="Times New Roman" w:hAnsi="Times New Roman" w:cs="Times New Roman"/>
          <w:sz w:val="24"/>
          <w:szCs w:val="24"/>
          <w:lang w:val="en-US"/>
        </w:rPr>
      </w:pPr>
      <w:r w:rsidRPr="0080321D">
        <w:rPr>
          <w:rFonts w:ascii="Times New Roman" w:hAnsi="Times New Roman" w:cs="Times New Roman"/>
          <w:sz w:val="24"/>
          <w:szCs w:val="24"/>
          <w:lang w:val="en-US"/>
        </w:rPr>
        <w:t>Davies, B., and Grimes, A</w:t>
      </w:r>
      <w:r>
        <w:rPr>
          <w:rFonts w:ascii="Times New Roman" w:hAnsi="Times New Roman" w:cs="Times New Roman"/>
          <w:sz w:val="24"/>
          <w:szCs w:val="24"/>
          <w:lang w:val="en-US"/>
        </w:rPr>
        <w:t xml:space="preserve">., 2020.  </w:t>
      </w:r>
      <w:proofErr w:type="gramStart"/>
      <w:r>
        <w:rPr>
          <w:rFonts w:ascii="Times New Roman" w:hAnsi="Times New Roman" w:cs="Times New Roman"/>
          <w:sz w:val="24"/>
          <w:szCs w:val="24"/>
          <w:lang w:val="en-US"/>
        </w:rPr>
        <w:t xml:space="preserve">“Covid-19, Lockdown and Two-Sided Uncertainty”, </w:t>
      </w:r>
      <w:r>
        <w:rPr>
          <w:rFonts w:ascii="Times New Roman" w:hAnsi="Times New Roman" w:cs="Times New Roman"/>
          <w:i/>
          <w:sz w:val="24"/>
          <w:szCs w:val="24"/>
          <w:lang w:val="en-US"/>
        </w:rPr>
        <w:t>New Zealand Economic Papers</w:t>
      </w:r>
      <w:r>
        <w:rPr>
          <w:rFonts w:ascii="Times New Roman" w:hAnsi="Times New Roman" w:cs="Times New Roman"/>
          <w:sz w:val="24"/>
          <w:szCs w:val="24"/>
          <w:lang w:val="en-US"/>
        </w:rPr>
        <w:t xml:space="preserve">, </w:t>
      </w:r>
      <w:hyperlink r:id="rId23" w:history="1">
        <w:r w:rsidR="00003651" w:rsidRPr="009A30A0">
          <w:rPr>
            <w:rStyle w:val="Hyperlink"/>
            <w:rFonts w:ascii="Times New Roman" w:hAnsi="Times New Roman" w:cs="Times New Roman"/>
            <w:sz w:val="24"/>
            <w:szCs w:val="24"/>
            <w:lang w:val="en-US"/>
          </w:rPr>
          <w:t>https://www.tandfonline.com/doi/pdf/10.1080/00779954.2020.1806340?needAccess=true</w:t>
        </w:r>
      </w:hyperlink>
      <w:r w:rsidR="00003651">
        <w:rPr>
          <w:rFonts w:ascii="Times New Roman" w:hAnsi="Times New Roman" w:cs="Times New Roman"/>
          <w:sz w:val="24"/>
          <w:szCs w:val="24"/>
          <w:lang w:val="en-US"/>
        </w:rPr>
        <w:t>.</w:t>
      </w:r>
      <w:proofErr w:type="gramEnd"/>
    </w:p>
    <w:p w:rsidR="0080321D" w:rsidRDefault="0080321D" w:rsidP="005C79D9">
      <w:pPr>
        <w:spacing w:after="0" w:line="240" w:lineRule="auto"/>
        <w:jc w:val="both"/>
        <w:rPr>
          <w:rFonts w:ascii="Times New Roman" w:hAnsi="Times New Roman" w:cs="Times New Roman"/>
          <w:b/>
          <w:sz w:val="24"/>
          <w:szCs w:val="24"/>
          <w:lang w:val="en-US"/>
        </w:rPr>
      </w:pPr>
    </w:p>
    <w:p w:rsidR="002B0290" w:rsidRPr="002B0290" w:rsidRDefault="002B0290" w:rsidP="005C79D9">
      <w:pPr>
        <w:spacing w:after="0" w:line="240" w:lineRule="auto"/>
        <w:jc w:val="both"/>
        <w:rPr>
          <w:rFonts w:ascii="Times New Roman" w:hAnsi="Times New Roman" w:cs="Times New Roman"/>
          <w:sz w:val="24"/>
          <w:szCs w:val="24"/>
          <w:lang w:val="en-US"/>
        </w:rPr>
      </w:pPr>
      <w:proofErr w:type="spellStart"/>
      <w:proofErr w:type="gramStart"/>
      <w:r w:rsidRPr="002B0290">
        <w:rPr>
          <w:rFonts w:ascii="Times New Roman" w:hAnsi="Times New Roman" w:cs="Times New Roman"/>
          <w:sz w:val="24"/>
          <w:szCs w:val="24"/>
          <w:lang w:val="en-US"/>
        </w:rPr>
        <w:t>Durrheim</w:t>
      </w:r>
      <w:proofErr w:type="spellEnd"/>
      <w:r w:rsidRPr="002B0290">
        <w:rPr>
          <w:rFonts w:ascii="Times New Roman" w:hAnsi="Times New Roman" w:cs="Times New Roman"/>
          <w:sz w:val="24"/>
          <w:szCs w:val="24"/>
          <w:lang w:val="en-US"/>
        </w:rPr>
        <w:t>, D., and Baker, M., 2020</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“Covid-19-A Very Visible Pandemic”, </w:t>
      </w:r>
      <w:r>
        <w:rPr>
          <w:rFonts w:ascii="Times New Roman" w:hAnsi="Times New Roman" w:cs="Times New Roman"/>
          <w:i/>
          <w:sz w:val="24"/>
          <w:szCs w:val="24"/>
          <w:lang w:val="en-US"/>
        </w:rPr>
        <w:t>Lancet</w:t>
      </w:r>
      <w:r>
        <w:rPr>
          <w:rFonts w:ascii="Times New Roman" w:hAnsi="Times New Roman" w:cs="Times New Roman"/>
          <w:sz w:val="24"/>
          <w:szCs w:val="24"/>
          <w:lang w:val="en-US"/>
        </w:rPr>
        <w:t xml:space="preserve">, vol. 396, </w:t>
      </w:r>
      <w:hyperlink r:id="rId24" w:history="1">
        <w:r w:rsidRPr="0033187F">
          <w:rPr>
            <w:rStyle w:val="Hyperlink"/>
            <w:rFonts w:ascii="Times New Roman" w:hAnsi="Times New Roman" w:cs="Times New Roman"/>
            <w:sz w:val="24"/>
            <w:szCs w:val="24"/>
            <w:lang w:val="en-US"/>
          </w:rPr>
          <w:t>https://www.thelancet.com/journals/lancet/article/PIIS0140-6736(20)31675-5/fulltext</w:t>
        </w:r>
      </w:hyperlink>
      <w:r>
        <w:rPr>
          <w:rFonts w:ascii="Times New Roman" w:hAnsi="Times New Roman" w:cs="Times New Roman"/>
          <w:sz w:val="24"/>
          <w:szCs w:val="24"/>
          <w:lang w:val="en-US"/>
        </w:rPr>
        <w:t>.</w:t>
      </w:r>
      <w:proofErr w:type="gramEnd"/>
    </w:p>
    <w:p w:rsidR="002B0290" w:rsidRDefault="002B0290" w:rsidP="005C79D9">
      <w:pPr>
        <w:spacing w:after="0" w:line="240" w:lineRule="auto"/>
        <w:jc w:val="both"/>
        <w:rPr>
          <w:rFonts w:ascii="Times New Roman" w:hAnsi="Times New Roman" w:cs="Times New Roman"/>
          <w:b/>
          <w:sz w:val="24"/>
          <w:szCs w:val="24"/>
          <w:lang w:val="en-US"/>
        </w:rPr>
      </w:pPr>
    </w:p>
    <w:p w:rsidR="005C79D9" w:rsidRPr="00A0275E" w:rsidRDefault="005C79D9" w:rsidP="005C79D9">
      <w:pPr>
        <w:spacing w:after="0" w:line="240" w:lineRule="auto"/>
        <w:jc w:val="both"/>
        <w:rPr>
          <w:rFonts w:ascii="Times New Roman" w:hAnsi="Times New Roman" w:cs="Times New Roman"/>
          <w:sz w:val="24"/>
          <w:szCs w:val="24"/>
          <w:lang w:val="en-US"/>
        </w:rPr>
      </w:pPr>
      <w:proofErr w:type="gramStart"/>
      <w:r w:rsidRPr="00A0275E">
        <w:rPr>
          <w:rFonts w:ascii="Times New Roman" w:hAnsi="Times New Roman" w:cs="Times New Roman"/>
          <w:sz w:val="24"/>
          <w:szCs w:val="24"/>
          <w:lang w:val="en-US"/>
        </w:rPr>
        <w:t>Ferguson</w:t>
      </w:r>
      <w:r w:rsidR="000A7EAA" w:rsidRPr="00A0275E">
        <w:rPr>
          <w:rFonts w:ascii="Times New Roman" w:hAnsi="Times New Roman" w:cs="Times New Roman"/>
          <w:sz w:val="24"/>
          <w:szCs w:val="24"/>
          <w:lang w:val="en-US"/>
        </w:rPr>
        <w:t>, N., et al, 2020.</w:t>
      </w:r>
      <w:proofErr w:type="gramEnd"/>
      <w:r w:rsidR="000A7EAA" w:rsidRPr="00A0275E">
        <w:rPr>
          <w:rFonts w:ascii="Times New Roman" w:hAnsi="Times New Roman" w:cs="Times New Roman"/>
          <w:sz w:val="24"/>
          <w:szCs w:val="24"/>
          <w:lang w:val="en-US"/>
        </w:rPr>
        <w:t xml:space="preserve">  </w:t>
      </w:r>
      <w:proofErr w:type="gramStart"/>
      <w:r w:rsidR="002F1220">
        <w:rPr>
          <w:rFonts w:ascii="Times New Roman" w:hAnsi="Times New Roman" w:cs="Times New Roman"/>
          <w:sz w:val="24"/>
          <w:szCs w:val="24"/>
          <w:lang w:val="en-US"/>
        </w:rPr>
        <w:t>“</w:t>
      </w:r>
      <w:r w:rsidR="00A0275E" w:rsidRPr="00A0275E">
        <w:rPr>
          <w:rFonts w:ascii="Times New Roman" w:hAnsi="Times New Roman" w:cs="Times New Roman"/>
          <w:sz w:val="24"/>
          <w:szCs w:val="24"/>
          <w:lang w:val="en-US"/>
        </w:rPr>
        <w:t>Impact of Non-Pharmaceutical Interventions to Reduce Covid-19 Mortality and Healthcare Demand</w:t>
      </w:r>
      <w:r w:rsidR="002F1220">
        <w:rPr>
          <w:rFonts w:ascii="Times New Roman" w:hAnsi="Times New Roman" w:cs="Times New Roman"/>
          <w:sz w:val="24"/>
          <w:szCs w:val="24"/>
          <w:lang w:val="en-US"/>
        </w:rPr>
        <w:t>”</w:t>
      </w:r>
      <w:r w:rsidR="00A0275E" w:rsidRPr="00A0275E">
        <w:rPr>
          <w:rFonts w:ascii="Times New Roman" w:hAnsi="Times New Roman" w:cs="Times New Roman"/>
          <w:sz w:val="24"/>
          <w:szCs w:val="24"/>
          <w:lang w:val="en-US"/>
        </w:rPr>
        <w:t xml:space="preserve">, working paper </w:t>
      </w:r>
      <w:hyperlink r:id="rId25" w:history="1">
        <w:r w:rsidR="00A0275E" w:rsidRPr="00A0275E">
          <w:rPr>
            <w:rStyle w:val="Hyperlink"/>
            <w:rFonts w:ascii="Times New Roman" w:hAnsi="Times New Roman" w:cs="Times New Roman"/>
            <w:sz w:val="24"/>
            <w:szCs w:val="24"/>
          </w:rPr>
          <w:t>https://www.imperial.ac.uk/media/imperial-college/medicine/sph/ide/gida-fellowships/Imperial-College-COVID19-NPI-modelling-16-03-2020.pdf</w:t>
        </w:r>
      </w:hyperlink>
      <w:r w:rsidR="00A0275E">
        <w:rPr>
          <w:rFonts w:ascii="Times New Roman" w:hAnsi="Times New Roman" w:cs="Times New Roman"/>
          <w:sz w:val="24"/>
          <w:szCs w:val="24"/>
        </w:rPr>
        <w:t>.</w:t>
      </w:r>
      <w:proofErr w:type="gramEnd"/>
    </w:p>
    <w:p w:rsidR="000A7EAA" w:rsidRDefault="000A7EAA" w:rsidP="005C79D9">
      <w:pPr>
        <w:spacing w:after="0" w:line="240" w:lineRule="auto"/>
        <w:jc w:val="both"/>
        <w:rPr>
          <w:rFonts w:ascii="Times New Roman" w:hAnsi="Times New Roman" w:cs="Times New Roman"/>
          <w:sz w:val="24"/>
          <w:szCs w:val="24"/>
          <w:lang w:val="en-US"/>
        </w:rPr>
      </w:pPr>
    </w:p>
    <w:p w:rsidR="001F4178" w:rsidRDefault="001F4178" w:rsidP="005C79D9">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w:t>
      </w:r>
      <w:r w:rsidR="00AC7ADE">
        <w:rPr>
          <w:rFonts w:ascii="Times New Roman" w:hAnsi="Times New Roman" w:cs="Times New Roman"/>
          <w:sz w:val="24"/>
          <w:szCs w:val="24"/>
          <w:lang w:val="en-US"/>
        </w:rPr>
        <w:t>order, J., and Fernandez, J., 2020.</w:t>
      </w:r>
      <w:proofErr w:type="gramEnd"/>
      <w:r w:rsidR="00AC7ADE">
        <w:rPr>
          <w:rFonts w:ascii="Times New Roman" w:hAnsi="Times New Roman" w:cs="Times New Roman"/>
          <w:sz w:val="24"/>
          <w:szCs w:val="24"/>
          <w:lang w:val="en-US"/>
        </w:rPr>
        <w:t xml:space="preserve">  </w:t>
      </w:r>
      <w:proofErr w:type="gramStart"/>
      <w:r w:rsidR="00AC7ADE">
        <w:rPr>
          <w:rFonts w:ascii="Times New Roman" w:hAnsi="Times New Roman" w:cs="Times New Roman"/>
          <w:sz w:val="24"/>
          <w:szCs w:val="24"/>
          <w:lang w:val="en-US"/>
        </w:rPr>
        <w:t xml:space="preserve">“Length of Stay in Care Homes”, </w:t>
      </w:r>
      <w:hyperlink r:id="rId26" w:history="1">
        <w:r w:rsidR="00F6339C" w:rsidRPr="00334654">
          <w:rPr>
            <w:rStyle w:val="Hyperlink"/>
            <w:rFonts w:ascii="Times New Roman" w:hAnsi="Times New Roman" w:cs="Times New Roman"/>
            <w:sz w:val="24"/>
            <w:szCs w:val="24"/>
            <w:lang w:val="en-US"/>
          </w:rPr>
          <w:t>https://eprints.lse.ac.uk/33895/1/dp2769.pdf</w:t>
        </w:r>
      </w:hyperlink>
      <w:r w:rsidR="00F6339C">
        <w:rPr>
          <w:rFonts w:ascii="Times New Roman" w:hAnsi="Times New Roman" w:cs="Times New Roman"/>
          <w:sz w:val="24"/>
          <w:szCs w:val="24"/>
          <w:lang w:val="en-US"/>
        </w:rPr>
        <w:t>.</w:t>
      </w:r>
      <w:proofErr w:type="gramEnd"/>
    </w:p>
    <w:p w:rsidR="001F4178" w:rsidRDefault="001F4178" w:rsidP="005C79D9">
      <w:pPr>
        <w:spacing w:after="0" w:line="240" w:lineRule="auto"/>
        <w:jc w:val="both"/>
        <w:rPr>
          <w:rFonts w:ascii="Times New Roman" w:hAnsi="Times New Roman" w:cs="Times New Roman"/>
          <w:sz w:val="24"/>
          <w:szCs w:val="24"/>
          <w:lang w:val="en-US"/>
        </w:rPr>
      </w:pPr>
    </w:p>
    <w:p w:rsidR="003E59F4" w:rsidRDefault="003E59F4" w:rsidP="005C79D9">
      <w:pPr>
        <w:spacing w:after="0" w:line="240" w:lineRule="auto"/>
        <w:jc w:val="both"/>
        <w:rPr>
          <w:rFonts w:ascii="Times New Roman" w:hAnsi="Times New Roman" w:cs="Times New Roman"/>
          <w:sz w:val="24"/>
          <w:szCs w:val="24"/>
        </w:rPr>
      </w:pPr>
      <w:r w:rsidRPr="0028234A">
        <w:rPr>
          <w:rFonts w:ascii="Times New Roman" w:hAnsi="Times New Roman" w:cs="Times New Roman"/>
          <w:sz w:val="24"/>
          <w:szCs w:val="24"/>
          <w:lang w:val="en-US"/>
        </w:rPr>
        <w:t>Gibson, J., 2020</w:t>
      </w:r>
      <w:r w:rsidR="00592DEB">
        <w:rPr>
          <w:rFonts w:ascii="Times New Roman" w:hAnsi="Times New Roman" w:cs="Times New Roman"/>
          <w:sz w:val="24"/>
          <w:szCs w:val="24"/>
          <w:lang w:val="en-US"/>
        </w:rPr>
        <w:t>a</w:t>
      </w:r>
      <w:r w:rsidRPr="0028234A">
        <w:rPr>
          <w:rFonts w:ascii="Times New Roman" w:hAnsi="Times New Roman" w:cs="Times New Roman"/>
          <w:sz w:val="24"/>
          <w:szCs w:val="24"/>
          <w:lang w:val="en-US"/>
        </w:rPr>
        <w:t>.  “Government Mandated Lockdowns do not</w:t>
      </w:r>
      <w:r w:rsidR="0028234A" w:rsidRPr="0028234A">
        <w:rPr>
          <w:rFonts w:ascii="Times New Roman" w:hAnsi="Times New Roman" w:cs="Times New Roman"/>
          <w:sz w:val="24"/>
          <w:szCs w:val="24"/>
          <w:lang w:val="en-US"/>
        </w:rPr>
        <w:t xml:space="preserve"> Reduce Covid-19 Deaths: Implications for Evaluating the Stringent New Zealand Response”, working paper, University of Waikato, </w:t>
      </w:r>
      <w:hyperlink r:id="rId27" w:history="1">
        <w:r w:rsidR="0028234A" w:rsidRPr="0028234A">
          <w:rPr>
            <w:rStyle w:val="Hyperlink"/>
            <w:rFonts w:ascii="Times New Roman" w:hAnsi="Times New Roman" w:cs="Times New Roman"/>
            <w:sz w:val="24"/>
            <w:szCs w:val="24"/>
          </w:rPr>
          <w:t>https://ideas.repec.org/p/wai/econwp/20-06.html</w:t>
        </w:r>
      </w:hyperlink>
      <w:r w:rsidR="0028234A" w:rsidRPr="0028234A">
        <w:rPr>
          <w:rFonts w:ascii="Times New Roman" w:hAnsi="Times New Roman" w:cs="Times New Roman"/>
          <w:sz w:val="24"/>
          <w:szCs w:val="24"/>
        </w:rPr>
        <w:t>.</w:t>
      </w:r>
    </w:p>
    <w:p w:rsidR="00592DEB" w:rsidRDefault="00592DEB" w:rsidP="005C79D9">
      <w:pPr>
        <w:spacing w:after="0" w:line="240" w:lineRule="auto"/>
        <w:jc w:val="both"/>
        <w:rPr>
          <w:rFonts w:ascii="Times New Roman" w:hAnsi="Times New Roman" w:cs="Times New Roman"/>
          <w:sz w:val="24"/>
          <w:szCs w:val="24"/>
        </w:rPr>
      </w:pPr>
    </w:p>
    <w:p w:rsidR="00592DEB" w:rsidRPr="0028234A" w:rsidRDefault="00592DEB" w:rsidP="005C79D9">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rPr>
        <w:t>________ 2020b.</w:t>
      </w:r>
      <w:proofErr w:type="gramEnd"/>
      <w:r>
        <w:rPr>
          <w:rFonts w:ascii="Times New Roman" w:hAnsi="Times New Roman" w:cs="Times New Roman"/>
          <w:sz w:val="24"/>
          <w:szCs w:val="24"/>
        </w:rPr>
        <w:t xml:space="preserve">  “Hard, Not Early: Putting the New Zealand Covid-19 Response in Context”, working paper, University of Waikato.</w:t>
      </w:r>
    </w:p>
    <w:p w:rsidR="003E59F4" w:rsidRDefault="003E59F4" w:rsidP="005C79D9">
      <w:pPr>
        <w:spacing w:after="0" w:line="240" w:lineRule="auto"/>
        <w:jc w:val="both"/>
        <w:rPr>
          <w:rFonts w:ascii="Times New Roman" w:hAnsi="Times New Roman" w:cs="Times New Roman"/>
          <w:sz w:val="24"/>
          <w:szCs w:val="24"/>
          <w:lang w:val="en-US"/>
        </w:rPr>
      </w:pPr>
    </w:p>
    <w:p w:rsidR="00EC33A4" w:rsidRPr="00EC33A4" w:rsidRDefault="00EC33A4" w:rsidP="005C79D9">
      <w:pPr>
        <w:spacing w:after="0" w:line="240" w:lineRule="auto"/>
        <w:jc w:val="both"/>
        <w:rPr>
          <w:rFonts w:ascii="Times New Roman" w:hAnsi="Times New Roman" w:cs="Times New Roman"/>
          <w:sz w:val="24"/>
          <w:szCs w:val="24"/>
          <w:lang w:val="en-US"/>
        </w:rPr>
      </w:pPr>
      <w:proofErr w:type="spellStart"/>
      <w:r w:rsidRPr="00EC33A4">
        <w:rPr>
          <w:rFonts w:ascii="Times New Roman" w:hAnsi="Times New Roman" w:cs="Times New Roman"/>
          <w:sz w:val="24"/>
          <w:szCs w:val="24"/>
          <w:lang w:val="en-US"/>
        </w:rPr>
        <w:t>Goolsbee</w:t>
      </w:r>
      <w:proofErr w:type="spellEnd"/>
      <w:r w:rsidRPr="00EC33A4">
        <w:rPr>
          <w:rFonts w:ascii="Times New Roman" w:hAnsi="Times New Roman" w:cs="Times New Roman"/>
          <w:sz w:val="24"/>
          <w:szCs w:val="24"/>
          <w:lang w:val="en-US"/>
        </w:rPr>
        <w:t xml:space="preserve">, A., and </w:t>
      </w:r>
      <w:proofErr w:type="spellStart"/>
      <w:r w:rsidRPr="00EC33A4">
        <w:rPr>
          <w:rFonts w:ascii="Times New Roman" w:hAnsi="Times New Roman" w:cs="Times New Roman"/>
          <w:sz w:val="24"/>
          <w:szCs w:val="24"/>
          <w:lang w:val="en-US"/>
        </w:rPr>
        <w:t>Syverson</w:t>
      </w:r>
      <w:proofErr w:type="spellEnd"/>
      <w:r w:rsidRPr="00EC33A4">
        <w:rPr>
          <w:rFonts w:ascii="Times New Roman" w:hAnsi="Times New Roman" w:cs="Times New Roman"/>
          <w:sz w:val="24"/>
          <w:szCs w:val="24"/>
          <w:lang w:val="en-US"/>
        </w:rPr>
        <w:t xml:space="preserve">, C., 2020.  </w:t>
      </w:r>
      <w:proofErr w:type="gramStart"/>
      <w:r w:rsidRPr="00EC33A4">
        <w:rPr>
          <w:rFonts w:ascii="Times New Roman" w:hAnsi="Times New Roman" w:cs="Times New Roman"/>
          <w:sz w:val="24"/>
          <w:szCs w:val="24"/>
          <w:lang w:val="en-US"/>
        </w:rPr>
        <w:t xml:space="preserve">“Fear, Lockdown and Diversion: Comparing Drivers of Pandemic Economic Decline 2020”, SSRN working paper, </w:t>
      </w:r>
      <w:hyperlink r:id="rId28" w:history="1">
        <w:r w:rsidRPr="00EC33A4">
          <w:rPr>
            <w:rStyle w:val="Hyperlink"/>
            <w:rFonts w:ascii="Times New Roman" w:hAnsi="Times New Roman" w:cs="Times New Roman"/>
            <w:sz w:val="24"/>
            <w:szCs w:val="24"/>
          </w:rPr>
          <w:t>https://papers.ssrn.com/sol3/papers.cfm?abstract_id=3631180</w:t>
        </w:r>
      </w:hyperlink>
      <w:r w:rsidRPr="00EC33A4">
        <w:rPr>
          <w:rFonts w:ascii="Times New Roman" w:hAnsi="Times New Roman" w:cs="Times New Roman"/>
          <w:sz w:val="24"/>
          <w:szCs w:val="24"/>
        </w:rPr>
        <w:t>.</w:t>
      </w:r>
      <w:proofErr w:type="gramEnd"/>
      <w:r w:rsidRPr="00EC33A4">
        <w:rPr>
          <w:rFonts w:ascii="Times New Roman" w:hAnsi="Times New Roman" w:cs="Times New Roman"/>
          <w:sz w:val="24"/>
          <w:szCs w:val="24"/>
          <w:lang w:val="en-US"/>
        </w:rPr>
        <w:t xml:space="preserve">  </w:t>
      </w:r>
    </w:p>
    <w:p w:rsidR="00EC33A4" w:rsidRDefault="00EC33A4" w:rsidP="005C79D9">
      <w:pPr>
        <w:spacing w:after="0" w:line="240" w:lineRule="auto"/>
        <w:jc w:val="both"/>
        <w:rPr>
          <w:rFonts w:ascii="Times New Roman" w:hAnsi="Times New Roman" w:cs="Times New Roman"/>
          <w:sz w:val="24"/>
          <w:szCs w:val="24"/>
          <w:lang w:val="en-US"/>
        </w:rPr>
      </w:pPr>
    </w:p>
    <w:p w:rsidR="00AF53F4" w:rsidRPr="00AF53F4" w:rsidRDefault="00AF53F4" w:rsidP="005C79D9">
      <w:p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Greenhalgh</w:t>
      </w:r>
      <w:proofErr w:type="spellEnd"/>
      <w:r>
        <w:rPr>
          <w:rFonts w:ascii="Times New Roman" w:hAnsi="Times New Roman" w:cs="Times New Roman"/>
          <w:sz w:val="24"/>
          <w:szCs w:val="24"/>
          <w:lang w:val="en-US"/>
        </w:rPr>
        <w:t>, T., and Knight, M., 2020.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“Management of Post-Acute Covid-19 in Primary Care, </w:t>
      </w:r>
      <w:r>
        <w:rPr>
          <w:rFonts w:ascii="Times New Roman" w:hAnsi="Times New Roman" w:cs="Times New Roman"/>
          <w:i/>
          <w:sz w:val="24"/>
          <w:szCs w:val="24"/>
          <w:lang w:val="en-US"/>
        </w:rPr>
        <w:t>BMJ</w:t>
      </w:r>
      <w:r>
        <w:rPr>
          <w:rFonts w:ascii="Times New Roman" w:hAnsi="Times New Roman" w:cs="Times New Roman"/>
          <w:sz w:val="24"/>
          <w:szCs w:val="24"/>
          <w:lang w:val="en-US"/>
        </w:rPr>
        <w:t xml:space="preserve">, </w:t>
      </w:r>
      <w:hyperlink r:id="rId29" w:history="1">
        <w:r w:rsidRPr="00A4044D">
          <w:rPr>
            <w:rStyle w:val="Hyperlink"/>
            <w:rFonts w:ascii="Times New Roman" w:hAnsi="Times New Roman" w:cs="Times New Roman"/>
            <w:sz w:val="24"/>
            <w:szCs w:val="24"/>
            <w:lang w:val="en-US"/>
          </w:rPr>
          <w:t>https://www.bmj.com/content/370/bmj.m3026</w:t>
        </w:r>
      </w:hyperlink>
      <w:r>
        <w:rPr>
          <w:rFonts w:ascii="Times New Roman" w:hAnsi="Times New Roman" w:cs="Times New Roman"/>
          <w:sz w:val="24"/>
          <w:szCs w:val="24"/>
          <w:lang w:val="en-US"/>
        </w:rPr>
        <w:t>.</w:t>
      </w:r>
      <w:proofErr w:type="gramEnd"/>
    </w:p>
    <w:p w:rsidR="00AF53F4" w:rsidRDefault="00AF53F4" w:rsidP="005C79D9">
      <w:pPr>
        <w:spacing w:after="0" w:line="240" w:lineRule="auto"/>
        <w:jc w:val="both"/>
        <w:rPr>
          <w:rFonts w:ascii="Times New Roman" w:hAnsi="Times New Roman" w:cs="Times New Roman"/>
          <w:sz w:val="24"/>
          <w:szCs w:val="24"/>
          <w:lang w:val="en-US"/>
        </w:rPr>
      </w:pPr>
    </w:p>
    <w:p w:rsidR="00FD2349" w:rsidRPr="00B62D23" w:rsidRDefault="00FD2349" w:rsidP="005C79D9">
      <w:pPr>
        <w:spacing w:after="0" w:line="240" w:lineRule="auto"/>
        <w:jc w:val="both"/>
        <w:rPr>
          <w:rFonts w:ascii="Times New Roman" w:hAnsi="Times New Roman" w:cs="Times New Roman"/>
          <w:sz w:val="24"/>
          <w:szCs w:val="24"/>
          <w:lang w:val="en-US"/>
        </w:rPr>
      </w:pPr>
      <w:proofErr w:type="spellStart"/>
      <w:r w:rsidRPr="00B62D23">
        <w:rPr>
          <w:rFonts w:ascii="Times New Roman" w:hAnsi="Times New Roman" w:cs="Times New Roman"/>
          <w:sz w:val="24"/>
          <w:szCs w:val="24"/>
          <w:lang w:val="en-US"/>
        </w:rPr>
        <w:lastRenderedPageBreak/>
        <w:t>Gros</w:t>
      </w:r>
      <w:proofErr w:type="spellEnd"/>
      <w:r w:rsidRPr="00B62D23">
        <w:rPr>
          <w:rFonts w:ascii="Times New Roman" w:hAnsi="Times New Roman" w:cs="Times New Roman"/>
          <w:sz w:val="24"/>
          <w:szCs w:val="24"/>
          <w:lang w:val="en-US"/>
        </w:rPr>
        <w:t>, D., 2020.  “The Great Lockdown: Was it Worth it?</w:t>
      </w:r>
      <w:proofErr w:type="gramStart"/>
      <w:r w:rsidRPr="00B62D23">
        <w:rPr>
          <w:rFonts w:ascii="Times New Roman" w:hAnsi="Times New Roman" w:cs="Times New Roman"/>
          <w:sz w:val="24"/>
          <w:szCs w:val="24"/>
          <w:lang w:val="en-US"/>
        </w:rPr>
        <w:t>”,</w:t>
      </w:r>
      <w:proofErr w:type="gramEnd"/>
      <w:r w:rsidRPr="00B62D23">
        <w:rPr>
          <w:rFonts w:ascii="Times New Roman" w:hAnsi="Times New Roman" w:cs="Times New Roman"/>
          <w:sz w:val="24"/>
          <w:szCs w:val="24"/>
          <w:lang w:val="en-US"/>
        </w:rPr>
        <w:t xml:space="preserve"> </w:t>
      </w:r>
      <w:r w:rsidR="00B62D23" w:rsidRPr="00B62D23">
        <w:rPr>
          <w:rFonts w:ascii="Times New Roman" w:hAnsi="Times New Roman" w:cs="Times New Roman"/>
          <w:i/>
          <w:sz w:val="24"/>
          <w:szCs w:val="24"/>
          <w:lang w:val="en-US"/>
        </w:rPr>
        <w:t>Policy Insights May 2020</w:t>
      </w:r>
      <w:r w:rsidR="00B62D23" w:rsidRPr="00B62D23">
        <w:rPr>
          <w:rFonts w:ascii="Times New Roman" w:hAnsi="Times New Roman" w:cs="Times New Roman"/>
          <w:sz w:val="24"/>
          <w:szCs w:val="24"/>
          <w:lang w:val="en-US"/>
        </w:rPr>
        <w:t xml:space="preserve">, </w:t>
      </w:r>
      <w:hyperlink r:id="rId30" w:history="1">
        <w:r w:rsidR="00B62D23" w:rsidRPr="00B62D23">
          <w:rPr>
            <w:rStyle w:val="Hyperlink"/>
            <w:rFonts w:ascii="Times New Roman" w:hAnsi="Times New Roman" w:cs="Times New Roman"/>
            <w:sz w:val="24"/>
            <w:szCs w:val="24"/>
          </w:rPr>
          <w:t>https://www.ceps.eu/wp-content/uploads/2020/05/PI2020-11_DG_The-great-lockdown.pdf</w:t>
        </w:r>
      </w:hyperlink>
      <w:r w:rsidR="00B62D23" w:rsidRPr="00B62D23">
        <w:rPr>
          <w:rFonts w:ascii="Times New Roman" w:hAnsi="Times New Roman" w:cs="Times New Roman"/>
          <w:sz w:val="24"/>
          <w:szCs w:val="24"/>
        </w:rPr>
        <w:t>.</w:t>
      </w:r>
    </w:p>
    <w:p w:rsidR="00FD2349" w:rsidRDefault="00FD2349" w:rsidP="005C79D9">
      <w:pPr>
        <w:spacing w:after="0" w:line="240" w:lineRule="auto"/>
        <w:jc w:val="both"/>
        <w:rPr>
          <w:rFonts w:ascii="Times New Roman" w:hAnsi="Times New Roman" w:cs="Times New Roman"/>
          <w:sz w:val="24"/>
          <w:szCs w:val="24"/>
          <w:lang w:val="en-US"/>
        </w:rPr>
      </w:pPr>
    </w:p>
    <w:p w:rsidR="001C5A5F" w:rsidRPr="00532D21" w:rsidRDefault="001C5A5F" w:rsidP="005C79D9">
      <w:pPr>
        <w:spacing w:after="0" w:line="240" w:lineRule="auto"/>
        <w:jc w:val="both"/>
        <w:rPr>
          <w:rFonts w:ascii="Times New Roman" w:hAnsi="Times New Roman" w:cs="Times New Roman"/>
          <w:i/>
          <w:sz w:val="24"/>
          <w:szCs w:val="24"/>
          <w:lang w:val="en-US"/>
        </w:rPr>
      </w:pPr>
      <w:r w:rsidRPr="00532D21">
        <w:rPr>
          <w:rFonts w:ascii="Times New Roman" w:hAnsi="Times New Roman" w:cs="Times New Roman"/>
          <w:sz w:val="24"/>
          <w:szCs w:val="24"/>
          <w:lang w:val="en-US"/>
        </w:rPr>
        <w:t xml:space="preserve">Hale, </w:t>
      </w:r>
      <w:r w:rsidR="008E4389" w:rsidRPr="00532D21">
        <w:rPr>
          <w:rFonts w:ascii="Times New Roman" w:hAnsi="Times New Roman" w:cs="Times New Roman"/>
          <w:sz w:val="24"/>
          <w:szCs w:val="24"/>
          <w:lang w:val="en-US"/>
        </w:rPr>
        <w:t xml:space="preserve">T., Angrist, N., </w:t>
      </w:r>
      <w:r w:rsidR="00F923F2" w:rsidRPr="00532D21">
        <w:rPr>
          <w:rFonts w:ascii="Times New Roman" w:hAnsi="Times New Roman" w:cs="Times New Roman"/>
          <w:sz w:val="24"/>
          <w:szCs w:val="24"/>
          <w:lang w:val="en-US"/>
        </w:rPr>
        <w:t xml:space="preserve">Kira, B., Petherick, A., </w:t>
      </w:r>
      <w:r w:rsidR="00FC7482" w:rsidRPr="00532D21">
        <w:rPr>
          <w:rFonts w:ascii="Times New Roman" w:hAnsi="Times New Roman" w:cs="Times New Roman"/>
          <w:sz w:val="24"/>
          <w:szCs w:val="24"/>
          <w:lang w:val="en-US"/>
        </w:rPr>
        <w:t xml:space="preserve">Phillips, T., and Webster, S., 2020.  </w:t>
      </w:r>
      <w:proofErr w:type="gramStart"/>
      <w:r w:rsidR="00FC7482" w:rsidRPr="00532D21">
        <w:rPr>
          <w:rFonts w:ascii="Times New Roman" w:hAnsi="Times New Roman" w:cs="Times New Roman"/>
          <w:sz w:val="24"/>
          <w:szCs w:val="24"/>
          <w:lang w:val="en-US"/>
        </w:rPr>
        <w:t xml:space="preserve">“Variation in Government Responses to Covid-19”, </w:t>
      </w:r>
      <w:r w:rsidR="00A87A80" w:rsidRPr="00532D21">
        <w:rPr>
          <w:rFonts w:ascii="Times New Roman" w:hAnsi="Times New Roman" w:cs="Times New Roman"/>
          <w:sz w:val="24"/>
          <w:szCs w:val="24"/>
          <w:lang w:val="en-US"/>
        </w:rPr>
        <w:t xml:space="preserve">working paper, University of Oxford, </w:t>
      </w:r>
      <w:hyperlink r:id="rId31" w:history="1">
        <w:r w:rsidR="00532D21" w:rsidRPr="00532D21">
          <w:rPr>
            <w:rStyle w:val="Hyperlink"/>
            <w:rFonts w:ascii="Times New Roman" w:hAnsi="Times New Roman" w:cs="Times New Roman"/>
            <w:sz w:val="24"/>
            <w:szCs w:val="24"/>
          </w:rPr>
          <w:t>https://www.bsg.ox.ac.uk/sites/default/files/2020-05/BSG-WP-2020-032-v6.0.pdf</w:t>
        </w:r>
      </w:hyperlink>
      <w:r w:rsidR="00532D21" w:rsidRPr="00532D21">
        <w:rPr>
          <w:rFonts w:ascii="Times New Roman" w:hAnsi="Times New Roman" w:cs="Times New Roman"/>
          <w:sz w:val="24"/>
          <w:szCs w:val="24"/>
        </w:rPr>
        <w:t>.</w:t>
      </w:r>
      <w:proofErr w:type="gramEnd"/>
    </w:p>
    <w:p w:rsidR="001C5A5F" w:rsidRDefault="001C5A5F" w:rsidP="005C79D9">
      <w:pPr>
        <w:spacing w:after="0" w:line="240" w:lineRule="auto"/>
        <w:jc w:val="both"/>
        <w:rPr>
          <w:rFonts w:ascii="Times New Roman" w:hAnsi="Times New Roman" w:cs="Times New Roman"/>
          <w:sz w:val="24"/>
          <w:szCs w:val="24"/>
          <w:lang w:val="en-US"/>
        </w:rPr>
      </w:pPr>
    </w:p>
    <w:p w:rsidR="00997608" w:rsidRPr="00997608" w:rsidRDefault="00997608" w:rsidP="005C79D9">
      <w:pPr>
        <w:spacing w:after="0" w:line="240" w:lineRule="auto"/>
        <w:jc w:val="both"/>
        <w:rPr>
          <w:rFonts w:ascii="Times New Roman" w:hAnsi="Times New Roman" w:cs="Times New Roman"/>
          <w:sz w:val="24"/>
          <w:szCs w:val="24"/>
          <w:lang w:val="en-US"/>
        </w:rPr>
      </w:pPr>
      <w:proofErr w:type="spellStart"/>
      <w:r w:rsidRPr="00997608">
        <w:rPr>
          <w:rFonts w:ascii="Times New Roman" w:hAnsi="Times New Roman" w:cs="Times New Roman"/>
          <w:sz w:val="24"/>
          <w:szCs w:val="24"/>
          <w:lang w:val="en-US"/>
        </w:rPr>
        <w:t>Heatley</w:t>
      </w:r>
      <w:proofErr w:type="spellEnd"/>
      <w:r w:rsidRPr="00997608">
        <w:rPr>
          <w:rFonts w:ascii="Times New Roman" w:hAnsi="Times New Roman" w:cs="Times New Roman"/>
          <w:sz w:val="24"/>
          <w:szCs w:val="24"/>
          <w:lang w:val="en-US"/>
        </w:rPr>
        <w:t xml:space="preserve">, D., 2020.  </w:t>
      </w:r>
      <w:r w:rsidR="002F1220">
        <w:rPr>
          <w:rFonts w:ascii="Times New Roman" w:hAnsi="Times New Roman" w:cs="Times New Roman"/>
          <w:sz w:val="24"/>
          <w:szCs w:val="24"/>
          <w:lang w:val="en-US"/>
        </w:rPr>
        <w:t>“</w:t>
      </w:r>
      <w:r w:rsidRPr="00997608">
        <w:rPr>
          <w:rFonts w:ascii="Times New Roman" w:hAnsi="Times New Roman" w:cs="Times New Roman"/>
          <w:sz w:val="24"/>
          <w:szCs w:val="24"/>
          <w:lang w:val="en-US"/>
        </w:rPr>
        <w:t>A Cost Benefit Analysis of Five Extra Days at Covid-19 Alert Level 4</w:t>
      </w:r>
      <w:r w:rsidR="002F1220">
        <w:rPr>
          <w:rFonts w:ascii="Times New Roman" w:hAnsi="Times New Roman" w:cs="Times New Roman"/>
          <w:sz w:val="24"/>
          <w:szCs w:val="24"/>
          <w:lang w:val="en-US"/>
        </w:rPr>
        <w:t>”</w:t>
      </w:r>
      <w:r w:rsidRPr="00997608">
        <w:rPr>
          <w:rFonts w:ascii="Times New Roman" w:hAnsi="Times New Roman" w:cs="Times New Roman"/>
          <w:sz w:val="24"/>
          <w:szCs w:val="24"/>
          <w:lang w:val="en-US"/>
        </w:rPr>
        <w:t xml:space="preserve">, Research Note 2020/02, </w:t>
      </w:r>
      <w:r w:rsidRPr="00997608">
        <w:rPr>
          <w:rFonts w:ascii="Times New Roman" w:hAnsi="Times New Roman" w:cs="Times New Roman"/>
          <w:i/>
          <w:sz w:val="24"/>
          <w:szCs w:val="24"/>
          <w:lang w:val="en-US"/>
        </w:rPr>
        <w:t>New Zealand Productivity Commission</w:t>
      </w:r>
      <w:r w:rsidRPr="00997608">
        <w:rPr>
          <w:rFonts w:ascii="Times New Roman" w:hAnsi="Times New Roman" w:cs="Times New Roman"/>
          <w:sz w:val="24"/>
          <w:szCs w:val="24"/>
          <w:lang w:val="en-US"/>
        </w:rPr>
        <w:t xml:space="preserve"> </w:t>
      </w:r>
      <w:hyperlink r:id="rId32" w:history="1">
        <w:r w:rsidRPr="00997608">
          <w:rPr>
            <w:rStyle w:val="Hyperlink"/>
            <w:rFonts w:ascii="Times New Roman" w:hAnsi="Times New Roman" w:cs="Times New Roman"/>
            <w:sz w:val="24"/>
            <w:szCs w:val="24"/>
          </w:rPr>
          <w:t>https://www.productivity.govt.nz/assets/Documents/cost-benefit-analysis-covid-alert-4/92193c37f4/A-cost-benefit-analysis-of-5-extra-days-at-COVID-19-at-alert-level-4.pdf</w:t>
        </w:r>
      </w:hyperlink>
      <w:r w:rsidRPr="00997608">
        <w:rPr>
          <w:rFonts w:ascii="Times New Roman" w:hAnsi="Times New Roman" w:cs="Times New Roman"/>
          <w:sz w:val="24"/>
          <w:szCs w:val="24"/>
          <w:lang w:val="en-US"/>
        </w:rPr>
        <w:t>.</w:t>
      </w:r>
    </w:p>
    <w:p w:rsidR="00997608" w:rsidRDefault="00997608" w:rsidP="005C79D9">
      <w:pPr>
        <w:spacing w:after="0" w:line="240" w:lineRule="auto"/>
        <w:jc w:val="both"/>
        <w:rPr>
          <w:rFonts w:ascii="Times New Roman" w:hAnsi="Times New Roman" w:cs="Times New Roman"/>
          <w:sz w:val="24"/>
          <w:szCs w:val="24"/>
          <w:lang w:val="en-US"/>
        </w:rPr>
      </w:pPr>
    </w:p>
    <w:p w:rsidR="00104643" w:rsidRPr="00DE6CF2" w:rsidRDefault="00104643" w:rsidP="005C79D9">
      <w:pPr>
        <w:spacing w:after="0" w:line="240" w:lineRule="auto"/>
        <w:jc w:val="both"/>
        <w:rPr>
          <w:rFonts w:ascii="Times New Roman" w:hAnsi="Times New Roman" w:cs="Times New Roman"/>
          <w:sz w:val="24"/>
          <w:szCs w:val="24"/>
          <w:lang w:val="en-US"/>
        </w:rPr>
      </w:pPr>
      <w:proofErr w:type="gramStart"/>
      <w:r w:rsidRPr="00DE6CF2">
        <w:rPr>
          <w:rFonts w:ascii="Times New Roman" w:hAnsi="Times New Roman" w:cs="Times New Roman"/>
          <w:sz w:val="24"/>
          <w:szCs w:val="24"/>
          <w:lang w:val="en-US"/>
        </w:rPr>
        <w:t>H</w:t>
      </w:r>
      <w:r w:rsidR="00800352" w:rsidRPr="00DE6CF2">
        <w:rPr>
          <w:rFonts w:ascii="Times New Roman" w:hAnsi="Times New Roman" w:cs="Times New Roman"/>
          <w:sz w:val="24"/>
          <w:szCs w:val="24"/>
          <w:lang w:val="en-US"/>
        </w:rPr>
        <w:t>omberg</w:t>
      </w:r>
      <w:r w:rsidR="00A917B6" w:rsidRPr="00DE6CF2">
        <w:rPr>
          <w:rFonts w:ascii="Times New Roman" w:hAnsi="Times New Roman" w:cs="Times New Roman"/>
          <w:sz w:val="24"/>
          <w:szCs w:val="24"/>
          <w:lang w:val="en-US"/>
        </w:rPr>
        <w:t>, S., 2020.</w:t>
      </w:r>
      <w:proofErr w:type="gramEnd"/>
      <w:r w:rsidR="00A917B6" w:rsidRPr="00DE6CF2">
        <w:rPr>
          <w:rFonts w:ascii="Times New Roman" w:hAnsi="Times New Roman" w:cs="Times New Roman"/>
          <w:sz w:val="24"/>
          <w:szCs w:val="24"/>
          <w:lang w:val="en-US"/>
        </w:rPr>
        <w:t xml:space="preserve">  </w:t>
      </w:r>
      <w:proofErr w:type="gramStart"/>
      <w:r w:rsidR="00A917B6" w:rsidRPr="00DE6CF2">
        <w:rPr>
          <w:rFonts w:ascii="Times New Roman" w:hAnsi="Times New Roman" w:cs="Times New Roman"/>
          <w:sz w:val="24"/>
          <w:szCs w:val="24"/>
          <w:lang w:val="en-US"/>
        </w:rPr>
        <w:t xml:space="preserve">“Effectiveness of Corona Lockdowns: Evidence for a Number of Countries”, </w:t>
      </w:r>
      <w:r w:rsidR="00A917B6" w:rsidRPr="00DE6CF2">
        <w:rPr>
          <w:rFonts w:ascii="Times New Roman" w:hAnsi="Times New Roman" w:cs="Times New Roman"/>
          <w:i/>
          <w:sz w:val="24"/>
          <w:szCs w:val="24"/>
          <w:lang w:val="en-US"/>
        </w:rPr>
        <w:t>The Economist’s Voice</w:t>
      </w:r>
      <w:r w:rsidR="00A917B6" w:rsidRPr="00DE6CF2">
        <w:rPr>
          <w:rFonts w:ascii="Times New Roman" w:hAnsi="Times New Roman" w:cs="Times New Roman"/>
          <w:sz w:val="24"/>
          <w:szCs w:val="24"/>
          <w:lang w:val="en-US"/>
        </w:rPr>
        <w:t xml:space="preserve">, forthcoming </w:t>
      </w:r>
      <w:hyperlink r:id="rId33" w:history="1">
        <w:r w:rsidR="00A917B6" w:rsidRPr="00DE6CF2">
          <w:rPr>
            <w:rStyle w:val="Hyperlink"/>
            <w:rFonts w:ascii="Times New Roman" w:hAnsi="Times New Roman" w:cs="Times New Roman"/>
            <w:sz w:val="24"/>
            <w:szCs w:val="24"/>
          </w:rPr>
          <w:t>http://diskussionspapiere.wiwi.uni-hannover.de/pdf_bib/dp-671.pdf</w:t>
        </w:r>
      </w:hyperlink>
      <w:r w:rsidR="00A917B6" w:rsidRPr="00DE6CF2">
        <w:rPr>
          <w:rFonts w:ascii="Times New Roman" w:hAnsi="Times New Roman" w:cs="Times New Roman"/>
          <w:sz w:val="24"/>
          <w:szCs w:val="24"/>
        </w:rPr>
        <w:t>.</w:t>
      </w:r>
      <w:proofErr w:type="gramEnd"/>
    </w:p>
    <w:p w:rsidR="00104643" w:rsidRDefault="00104643" w:rsidP="005C79D9">
      <w:pPr>
        <w:spacing w:after="0" w:line="240" w:lineRule="auto"/>
        <w:jc w:val="both"/>
        <w:rPr>
          <w:rFonts w:ascii="Times New Roman" w:hAnsi="Times New Roman" w:cs="Times New Roman"/>
          <w:sz w:val="24"/>
          <w:szCs w:val="24"/>
          <w:lang w:val="en-US"/>
        </w:rPr>
      </w:pPr>
    </w:p>
    <w:p w:rsidR="00C9378C" w:rsidRPr="00C9378C" w:rsidRDefault="00C9378C" w:rsidP="005C79D9">
      <w:pPr>
        <w:spacing w:after="0" w:line="240" w:lineRule="auto"/>
        <w:jc w:val="both"/>
        <w:rPr>
          <w:rFonts w:ascii="Times New Roman" w:hAnsi="Times New Roman" w:cs="Times New Roman"/>
          <w:sz w:val="24"/>
          <w:szCs w:val="24"/>
          <w:lang w:val="en-US"/>
        </w:rPr>
      </w:pPr>
      <w:r w:rsidRPr="00C9378C">
        <w:rPr>
          <w:rFonts w:ascii="Times New Roman" w:hAnsi="Times New Roman" w:cs="Times New Roman"/>
          <w:sz w:val="24"/>
          <w:szCs w:val="24"/>
          <w:lang w:val="en-US"/>
        </w:rPr>
        <w:t xml:space="preserve">Holden, R., and Preston, B., 2020. “The Costs of the Shutdown are </w:t>
      </w:r>
      <w:proofErr w:type="gramStart"/>
      <w:r w:rsidRPr="00C9378C">
        <w:rPr>
          <w:rFonts w:ascii="Times New Roman" w:hAnsi="Times New Roman" w:cs="Times New Roman"/>
          <w:sz w:val="24"/>
          <w:szCs w:val="24"/>
          <w:lang w:val="en-US"/>
        </w:rPr>
        <w:t>Overestimated</w:t>
      </w:r>
      <w:proofErr w:type="gramEnd"/>
      <w:r w:rsidRPr="00C9378C">
        <w:rPr>
          <w:rFonts w:ascii="Times New Roman" w:hAnsi="Times New Roman" w:cs="Times New Roman"/>
          <w:sz w:val="24"/>
          <w:szCs w:val="24"/>
          <w:lang w:val="en-US"/>
        </w:rPr>
        <w:t xml:space="preserve">”, </w:t>
      </w:r>
      <w:hyperlink r:id="rId34" w:history="1">
        <w:r w:rsidRPr="00C9378C">
          <w:rPr>
            <w:rStyle w:val="Hyperlink"/>
            <w:rFonts w:ascii="Times New Roman" w:hAnsi="Times New Roman" w:cs="Times New Roman"/>
            <w:sz w:val="24"/>
            <w:szCs w:val="24"/>
          </w:rPr>
          <w:t>https://theconversation.com/the-costs-of-the-shutdown-are-overestimated-theyre-outweighed-by-its-1-trillion-benefit-138303</w:t>
        </w:r>
      </w:hyperlink>
      <w:r w:rsidRPr="00C9378C">
        <w:rPr>
          <w:rFonts w:ascii="Times New Roman" w:hAnsi="Times New Roman" w:cs="Times New Roman"/>
          <w:sz w:val="24"/>
          <w:szCs w:val="24"/>
        </w:rPr>
        <w:t>.</w:t>
      </w:r>
    </w:p>
    <w:p w:rsidR="00C9378C" w:rsidRDefault="00C9378C" w:rsidP="005C79D9">
      <w:pPr>
        <w:spacing w:after="0" w:line="240" w:lineRule="auto"/>
        <w:jc w:val="both"/>
        <w:rPr>
          <w:rFonts w:ascii="Times New Roman" w:hAnsi="Times New Roman" w:cs="Times New Roman"/>
          <w:sz w:val="24"/>
          <w:szCs w:val="24"/>
          <w:lang w:val="en-US"/>
        </w:rPr>
      </w:pPr>
    </w:p>
    <w:p w:rsidR="00C44685" w:rsidRDefault="00C44685"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Hope, C., 2020.  “Covid-19 Death Rate is Higher in European Countries with a Low Flu Intensity Since 2018”, Cambridge Judge Business School working paper 03/2020, </w:t>
      </w:r>
      <w:hyperlink r:id="rId35" w:history="1">
        <w:r w:rsidRPr="00355CD2">
          <w:rPr>
            <w:rStyle w:val="Hyperlink"/>
            <w:rFonts w:ascii="Times New Roman" w:hAnsi="Times New Roman" w:cs="Times New Roman"/>
            <w:sz w:val="24"/>
            <w:szCs w:val="24"/>
            <w:lang w:val="en-US"/>
          </w:rPr>
          <w:t>https://www.jbs.cam.ac.uk/wp-content/uploads/2020/08/wp2003.pdf</w:t>
        </w:r>
      </w:hyperlink>
      <w:r>
        <w:rPr>
          <w:rFonts w:ascii="Times New Roman" w:hAnsi="Times New Roman" w:cs="Times New Roman"/>
          <w:sz w:val="24"/>
          <w:szCs w:val="24"/>
          <w:lang w:val="en-US"/>
        </w:rPr>
        <w:t>.</w:t>
      </w:r>
    </w:p>
    <w:p w:rsidR="00C44685" w:rsidRDefault="00C44685" w:rsidP="005C79D9">
      <w:pPr>
        <w:spacing w:after="0" w:line="240" w:lineRule="auto"/>
        <w:jc w:val="both"/>
        <w:rPr>
          <w:rFonts w:ascii="Times New Roman" w:hAnsi="Times New Roman" w:cs="Times New Roman"/>
          <w:sz w:val="24"/>
          <w:szCs w:val="24"/>
          <w:lang w:val="en-US"/>
        </w:rPr>
      </w:pPr>
    </w:p>
    <w:p w:rsidR="004B1499" w:rsidRDefault="004B1499"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James, A., Hendy, S., Plank, M., and Steyn, N., 2020</w:t>
      </w:r>
      <w:r w:rsidR="00C943EE">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“Suppression and Mitigation Strategies for Control of </w:t>
      </w:r>
      <w:r w:rsidR="003D0457">
        <w:rPr>
          <w:rFonts w:ascii="Times New Roman" w:hAnsi="Times New Roman" w:cs="Times New Roman"/>
          <w:sz w:val="24"/>
          <w:szCs w:val="24"/>
          <w:lang w:val="en-US"/>
        </w:rPr>
        <w:t xml:space="preserve">Covid-19 in New Zealand”, working paper, </w:t>
      </w:r>
      <w:hyperlink r:id="rId36" w:history="1">
        <w:r w:rsidR="003D0457" w:rsidRPr="00355CD2">
          <w:rPr>
            <w:rStyle w:val="Hyperlink"/>
            <w:rFonts w:ascii="Times New Roman" w:hAnsi="Times New Roman" w:cs="Times New Roman"/>
            <w:sz w:val="24"/>
            <w:szCs w:val="24"/>
            <w:lang w:val="en-US"/>
          </w:rPr>
          <w:t>https://cpb-ap-se2.wpmucdn.com/blogs.auckland.ac.nz/dist/d/75/files/2017/01/Supression-and-Mitigation-New-Zealand-TPM-006.pdf</w:t>
        </w:r>
      </w:hyperlink>
      <w:r w:rsidR="003D0457">
        <w:rPr>
          <w:rFonts w:ascii="Times New Roman" w:hAnsi="Times New Roman" w:cs="Times New Roman"/>
          <w:sz w:val="24"/>
          <w:szCs w:val="24"/>
          <w:lang w:val="en-US"/>
        </w:rPr>
        <w:t>.</w:t>
      </w:r>
      <w:proofErr w:type="gramEnd"/>
    </w:p>
    <w:p w:rsidR="004B1499" w:rsidRDefault="004B1499" w:rsidP="005C79D9">
      <w:pPr>
        <w:spacing w:after="0" w:line="240" w:lineRule="auto"/>
        <w:jc w:val="both"/>
        <w:rPr>
          <w:rFonts w:ascii="Times New Roman" w:hAnsi="Times New Roman" w:cs="Times New Roman"/>
          <w:sz w:val="24"/>
          <w:szCs w:val="24"/>
          <w:lang w:val="en-US"/>
        </w:rPr>
      </w:pPr>
    </w:p>
    <w:p w:rsidR="00C943EE" w:rsidRDefault="00C943EE" w:rsidP="005C79D9">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________ </w:t>
      </w:r>
      <w:proofErr w:type="spellStart"/>
      <w:r>
        <w:rPr>
          <w:rFonts w:ascii="Times New Roman" w:hAnsi="Times New Roman" w:cs="Times New Roman"/>
          <w:sz w:val="24"/>
          <w:szCs w:val="24"/>
          <w:lang w:val="en-US"/>
        </w:rPr>
        <w:t>Binny</w:t>
      </w:r>
      <w:proofErr w:type="spellEnd"/>
      <w:r>
        <w:rPr>
          <w:rFonts w:ascii="Times New Roman" w:hAnsi="Times New Roman" w:cs="Times New Roman"/>
          <w:sz w:val="24"/>
          <w:szCs w:val="24"/>
          <w:lang w:val="en-US"/>
        </w:rPr>
        <w:t xml:space="preserve">, R., Hendy, S., </w:t>
      </w:r>
      <w:proofErr w:type="spellStart"/>
      <w:r>
        <w:rPr>
          <w:rFonts w:ascii="Times New Roman" w:hAnsi="Times New Roman" w:cs="Times New Roman"/>
          <w:sz w:val="24"/>
          <w:szCs w:val="24"/>
          <w:lang w:val="en-US"/>
        </w:rPr>
        <w:t>Lustig</w:t>
      </w:r>
      <w:proofErr w:type="spellEnd"/>
      <w:r>
        <w:rPr>
          <w:rFonts w:ascii="Times New Roman" w:hAnsi="Times New Roman" w:cs="Times New Roman"/>
          <w:sz w:val="24"/>
          <w:szCs w:val="24"/>
          <w:lang w:val="en-US"/>
        </w:rPr>
        <w:t>, A., Steyn, N., and Plank, M., 2020b.</w:t>
      </w:r>
      <w:proofErr w:type="gramEnd"/>
      <w:r>
        <w:rPr>
          <w:rFonts w:ascii="Times New Roman" w:hAnsi="Times New Roman" w:cs="Times New Roman"/>
          <w:sz w:val="24"/>
          <w:szCs w:val="24"/>
          <w:lang w:val="en-US"/>
        </w:rPr>
        <w:t xml:space="preserve">  “Economic Comparison of the use of Alert Levels 3 and 4 in Eliminating the Auckland August Outbreak: A Cost-Effectiveness Analysis”,</w:t>
      </w:r>
      <w:r w:rsidR="00426DE2">
        <w:rPr>
          <w:rFonts w:ascii="Times New Roman" w:hAnsi="Times New Roman" w:cs="Times New Roman"/>
          <w:sz w:val="24"/>
          <w:szCs w:val="24"/>
          <w:lang w:val="en-US"/>
        </w:rPr>
        <w:t xml:space="preserve"> working paper,</w:t>
      </w:r>
      <w:r>
        <w:rPr>
          <w:rFonts w:ascii="Times New Roman" w:hAnsi="Times New Roman" w:cs="Times New Roman"/>
          <w:sz w:val="24"/>
          <w:szCs w:val="24"/>
          <w:lang w:val="en-US"/>
        </w:rPr>
        <w:t xml:space="preserve"> </w:t>
      </w:r>
      <w:hyperlink r:id="rId37" w:history="1">
        <w:r w:rsidRPr="005E24F7">
          <w:rPr>
            <w:rStyle w:val="Hyperlink"/>
            <w:rFonts w:ascii="Times New Roman" w:hAnsi="Times New Roman" w:cs="Times New Roman"/>
            <w:sz w:val="24"/>
            <w:szCs w:val="24"/>
            <w:lang w:val="en-US"/>
          </w:rPr>
          <w:t>https://www.tepunahamatatini.ac.nz/2020/11/16/economic-comparison-of-the-use-of-alert-levels-3-and-4-for-aucklands-august-outbreak/</w:t>
        </w:r>
      </w:hyperlink>
      <w:r>
        <w:rPr>
          <w:rFonts w:ascii="Times New Roman" w:hAnsi="Times New Roman" w:cs="Times New Roman"/>
          <w:sz w:val="24"/>
          <w:szCs w:val="24"/>
          <w:lang w:val="en-US"/>
        </w:rPr>
        <w:t>.</w:t>
      </w:r>
    </w:p>
    <w:p w:rsidR="00C943EE" w:rsidRDefault="00C943EE" w:rsidP="005C79D9">
      <w:pPr>
        <w:spacing w:after="0" w:line="240" w:lineRule="auto"/>
        <w:jc w:val="both"/>
        <w:rPr>
          <w:rFonts w:ascii="Times New Roman" w:hAnsi="Times New Roman" w:cs="Times New Roman"/>
          <w:sz w:val="24"/>
          <w:szCs w:val="24"/>
          <w:lang w:val="en-US"/>
        </w:rPr>
      </w:pPr>
    </w:p>
    <w:p w:rsidR="00623CCB" w:rsidRPr="00CF4493" w:rsidRDefault="00623CCB" w:rsidP="005C79D9">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Koeckerling</w:t>
      </w:r>
      <w:proofErr w:type="spellEnd"/>
      <w:r>
        <w:rPr>
          <w:rFonts w:ascii="Times New Roman" w:hAnsi="Times New Roman" w:cs="Times New Roman"/>
          <w:sz w:val="24"/>
          <w:szCs w:val="24"/>
          <w:lang w:val="en-US"/>
        </w:rPr>
        <w:t xml:space="preserve">, D., and Barker, J., 2020.  </w:t>
      </w:r>
      <w:proofErr w:type="gramStart"/>
      <w:r>
        <w:rPr>
          <w:rFonts w:ascii="Times New Roman" w:hAnsi="Times New Roman" w:cs="Times New Roman"/>
          <w:sz w:val="24"/>
          <w:szCs w:val="24"/>
          <w:lang w:val="en-US"/>
        </w:rPr>
        <w:t xml:space="preserve">“Awake Prone Positioning in Covid-19”, </w:t>
      </w:r>
      <w:r w:rsidR="00CF4493">
        <w:rPr>
          <w:rFonts w:ascii="Times New Roman" w:hAnsi="Times New Roman" w:cs="Times New Roman"/>
          <w:i/>
          <w:sz w:val="24"/>
          <w:szCs w:val="24"/>
          <w:lang w:val="en-US"/>
        </w:rPr>
        <w:t>Thorax</w:t>
      </w:r>
      <w:r w:rsidR="00CF4493">
        <w:rPr>
          <w:rFonts w:ascii="Times New Roman" w:hAnsi="Times New Roman" w:cs="Times New Roman"/>
          <w:sz w:val="24"/>
          <w:szCs w:val="24"/>
          <w:lang w:val="en-US"/>
        </w:rPr>
        <w:t xml:space="preserve">, </w:t>
      </w:r>
      <w:hyperlink r:id="rId38" w:history="1">
        <w:r w:rsidR="00CF4493" w:rsidRPr="00B63F3D">
          <w:rPr>
            <w:rStyle w:val="Hyperlink"/>
            <w:rFonts w:ascii="Times New Roman" w:hAnsi="Times New Roman" w:cs="Times New Roman"/>
            <w:sz w:val="24"/>
            <w:szCs w:val="24"/>
            <w:lang w:val="en-US"/>
          </w:rPr>
          <w:t>https://thorax.bmj.com/content/75/10/833</w:t>
        </w:r>
      </w:hyperlink>
      <w:r w:rsidR="00CF4493">
        <w:rPr>
          <w:rFonts w:ascii="Times New Roman" w:hAnsi="Times New Roman" w:cs="Times New Roman"/>
          <w:sz w:val="24"/>
          <w:szCs w:val="24"/>
          <w:lang w:val="en-US"/>
        </w:rPr>
        <w:t>.</w:t>
      </w:r>
      <w:proofErr w:type="gramEnd"/>
    </w:p>
    <w:p w:rsidR="00623CCB" w:rsidRDefault="00623CCB" w:rsidP="005C79D9">
      <w:pPr>
        <w:spacing w:after="0" w:line="240" w:lineRule="auto"/>
        <w:jc w:val="both"/>
        <w:rPr>
          <w:rFonts w:ascii="Times New Roman" w:hAnsi="Times New Roman" w:cs="Times New Roman"/>
          <w:sz w:val="24"/>
          <w:szCs w:val="24"/>
          <w:lang w:val="en-US"/>
        </w:rPr>
      </w:pPr>
    </w:p>
    <w:p w:rsidR="009255E9" w:rsidRDefault="009255E9" w:rsidP="005C79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360A87">
        <w:rPr>
          <w:rFonts w:ascii="Times New Roman" w:hAnsi="Times New Roman" w:cs="Times New Roman"/>
          <w:sz w:val="24"/>
          <w:szCs w:val="24"/>
          <w:lang w:val="en-US"/>
        </w:rPr>
        <w:t xml:space="preserve">lein, D., Book, J., and </w:t>
      </w:r>
      <w:proofErr w:type="spellStart"/>
      <w:r w:rsidR="00360A87">
        <w:rPr>
          <w:rFonts w:ascii="Times New Roman" w:hAnsi="Times New Roman" w:cs="Times New Roman"/>
          <w:sz w:val="24"/>
          <w:szCs w:val="24"/>
          <w:lang w:val="en-US"/>
        </w:rPr>
        <w:t>Bjornskov</w:t>
      </w:r>
      <w:proofErr w:type="spellEnd"/>
      <w:r w:rsidR="00360A87">
        <w:rPr>
          <w:rFonts w:ascii="Times New Roman" w:hAnsi="Times New Roman" w:cs="Times New Roman"/>
          <w:sz w:val="24"/>
          <w:szCs w:val="24"/>
          <w:lang w:val="en-US"/>
        </w:rPr>
        <w:t xml:space="preserve">, C., 2020.  </w:t>
      </w:r>
      <w:proofErr w:type="gramStart"/>
      <w:r w:rsidR="00360A87">
        <w:rPr>
          <w:rFonts w:ascii="Times New Roman" w:hAnsi="Times New Roman" w:cs="Times New Roman"/>
          <w:sz w:val="24"/>
          <w:szCs w:val="24"/>
          <w:lang w:val="en-US"/>
        </w:rPr>
        <w:t xml:space="preserve">“16 Possible Factors for Sweden’s Higher </w:t>
      </w:r>
      <w:proofErr w:type="spellStart"/>
      <w:r w:rsidR="00360A87">
        <w:rPr>
          <w:rFonts w:ascii="Times New Roman" w:hAnsi="Times New Roman" w:cs="Times New Roman"/>
          <w:sz w:val="24"/>
          <w:szCs w:val="24"/>
          <w:lang w:val="en-US"/>
        </w:rPr>
        <w:t>Covid</w:t>
      </w:r>
      <w:proofErr w:type="spellEnd"/>
      <w:r w:rsidR="00360A87">
        <w:rPr>
          <w:rFonts w:ascii="Times New Roman" w:hAnsi="Times New Roman" w:cs="Times New Roman"/>
          <w:sz w:val="24"/>
          <w:szCs w:val="24"/>
          <w:lang w:val="en-US"/>
        </w:rPr>
        <w:t xml:space="preserve"> Death Rate among the Nordics”, </w:t>
      </w:r>
      <w:r w:rsidR="003750BA">
        <w:rPr>
          <w:rFonts w:ascii="Times New Roman" w:hAnsi="Times New Roman" w:cs="Times New Roman"/>
          <w:sz w:val="24"/>
          <w:szCs w:val="24"/>
          <w:lang w:val="en-US"/>
        </w:rPr>
        <w:t xml:space="preserve">GMU working paper, </w:t>
      </w:r>
      <w:hyperlink r:id="rId39" w:history="1">
        <w:r w:rsidR="003750BA" w:rsidRPr="00E9386A">
          <w:rPr>
            <w:rStyle w:val="Hyperlink"/>
            <w:rFonts w:ascii="Times New Roman" w:hAnsi="Times New Roman" w:cs="Times New Roman"/>
            <w:sz w:val="24"/>
            <w:szCs w:val="24"/>
            <w:lang w:val="en-US"/>
          </w:rPr>
          <w:t>https://papers.ssrn.com/sol3/papers.cfm?abstract_id=3674138&amp;download=yes</w:t>
        </w:r>
      </w:hyperlink>
      <w:r w:rsidR="003750BA">
        <w:rPr>
          <w:rFonts w:ascii="Times New Roman" w:hAnsi="Times New Roman" w:cs="Times New Roman"/>
          <w:sz w:val="24"/>
          <w:szCs w:val="24"/>
          <w:lang w:val="en-US"/>
        </w:rPr>
        <w:t>.</w:t>
      </w:r>
      <w:proofErr w:type="gramEnd"/>
    </w:p>
    <w:p w:rsidR="009255E9" w:rsidRDefault="009255E9" w:rsidP="005C79D9">
      <w:pPr>
        <w:spacing w:after="0" w:line="240" w:lineRule="auto"/>
        <w:jc w:val="both"/>
        <w:rPr>
          <w:rFonts w:ascii="Times New Roman" w:hAnsi="Times New Roman" w:cs="Times New Roman"/>
          <w:sz w:val="24"/>
          <w:szCs w:val="24"/>
          <w:lang w:val="en-US"/>
        </w:rPr>
      </w:pPr>
    </w:p>
    <w:p w:rsidR="000A7EAA" w:rsidRDefault="000A7EAA" w:rsidP="005C79D9">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Kvizhinadze</w:t>
      </w:r>
      <w:proofErr w:type="spellEnd"/>
      <w:r>
        <w:rPr>
          <w:rFonts w:ascii="Times New Roman" w:hAnsi="Times New Roman" w:cs="Times New Roman"/>
          <w:sz w:val="24"/>
          <w:szCs w:val="24"/>
          <w:lang w:val="en-US"/>
        </w:rPr>
        <w:t>, G., Wilson, N., Nair, N., McLe</w:t>
      </w:r>
      <w:r w:rsidR="00FF32F1">
        <w:rPr>
          <w:rFonts w:ascii="Times New Roman" w:hAnsi="Times New Roman" w:cs="Times New Roman"/>
          <w:sz w:val="24"/>
          <w:szCs w:val="24"/>
          <w:lang w:val="en-US"/>
        </w:rPr>
        <w:t>od, M., and Blakely, T., 2015.</w:t>
      </w:r>
      <w:proofErr w:type="gramEnd"/>
      <w:r w:rsidR="00FF32F1">
        <w:rPr>
          <w:rFonts w:ascii="Times New Roman" w:hAnsi="Times New Roman" w:cs="Times New Roman"/>
          <w:sz w:val="24"/>
          <w:szCs w:val="24"/>
          <w:lang w:val="en-US"/>
        </w:rPr>
        <w:t xml:space="preserve">  </w:t>
      </w:r>
      <w:r w:rsidR="002F1220">
        <w:rPr>
          <w:rFonts w:ascii="Times New Roman" w:hAnsi="Times New Roman" w:cs="Times New Roman"/>
          <w:sz w:val="24"/>
          <w:szCs w:val="24"/>
          <w:lang w:val="en-US"/>
        </w:rPr>
        <w:t>“</w:t>
      </w:r>
      <w:r w:rsidR="00FF32F1">
        <w:rPr>
          <w:rFonts w:ascii="Times New Roman" w:hAnsi="Times New Roman" w:cs="Times New Roman"/>
          <w:sz w:val="24"/>
          <w:szCs w:val="24"/>
          <w:lang w:val="en-US"/>
        </w:rPr>
        <w:t>How Much Might a Society Spend on Life-Saving Interventions</w:t>
      </w:r>
      <w:r w:rsidR="009262AD">
        <w:rPr>
          <w:rFonts w:ascii="Times New Roman" w:hAnsi="Times New Roman" w:cs="Times New Roman"/>
          <w:sz w:val="24"/>
          <w:szCs w:val="24"/>
          <w:lang w:val="en-US"/>
        </w:rPr>
        <w:t xml:space="preserve"> at Different Ages while remaining Cost Effective? A Case Study in a Country with Detailed Data</w:t>
      </w:r>
      <w:r w:rsidR="002F1220">
        <w:rPr>
          <w:rFonts w:ascii="Times New Roman" w:hAnsi="Times New Roman" w:cs="Times New Roman"/>
          <w:sz w:val="24"/>
          <w:szCs w:val="24"/>
          <w:lang w:val="en-US"/>
        </w:rPr>
        <w:t>”</w:t>
      </w:r>
      <w:r w:rsidR="009262AD">
        <w:rPr>
          <w:rFonts w:ascii="Times New Roman" w:hAnsi="Times New Roman" w:cs="Times New Roman"/>
          <w:sz w:val="24"/>
          <w:szCs w:val="24"/>
          <w:lang w:val="en-US"/>
        </w:rPr>
        <w:t xml:space="preserve">, </w:t>
      </w:r>
      <w:r w:rsidR="003F136A">
        <w:rPr>
          <w:rFonts w:ascii="Times New Roman" w:hAnsi="Times New Roman" w:cs="Times New Roman"/>
          <w:i/>
          <w:sz w:val="24"/>
          <w:szCs w:val="24"/>
          <w:lang w:val="en-US"/>
        </w:rPr>
        <w:t>Population Health Metrics</w:t>
      </w:r>
      <w:r w:rsidR="003F136A">
        <w:rPr>
          <w:rFonts w:ascii="Times New Roman" w:hAnsi="Times New Roman" w:cs="Times New Roman"/>
          <w:sz w:val="24"/>
          <w:szCs w:val="24"/>
          <w:lang w:val="en-US"/>
        </w:rPr>
        <w:t xml:space="preserve">, </w:t>
      </w:r>
      <w:hyperlink r:id="rId40" w:history="1">
        <w:r w:rsidR="003F136A" w:rsidRPr="003F136A">
          <w:rPr>
            <w:rStyle w:val="Hyperlink"/>
            <w:rFonts w:ascii="Times New Roman" w:hAnsi="Times New Roman" w:cs="Times New Roman"/>
            <w:sz w:val="24"/>
            <w:szCs w:val="24"/>
          </w:rPr>
          <w:t>https://www.researchgate.net/publication/279991339_How_much_might_a_society_spend_on_life-saving_interventions_at_different_ages_while_remaining_cost-effective_A_case_study_in_a_country_with_detailed_data/download</w:t>
        </w:r>
      </w:hyperlink>
      <w:r w:rsidR="003F136A" w:rsidRPr="003F136A">
        <w:rPr>
          <w:rFonts w:ascii="Times New Roman" w:hAnsi="Times New Roman" w:cs="Times New Roman"/>
          <w:sz w:val="24"/>
          <w:szCs w:val="24"/>
        </w:rPr>
        <w:t>.</w:t>
      </w:r>
    </w:p>
    <w:p w:rsidR="008E7439" w:rsidRDefault="008E7439" w:rsidP="005C79D9">
      <w:pPr>
        <w:spacing w:after="0" w:line="240" w:lineRule="auto"/>
        <w:jc w:val="both"/>
        <w:rPr>
          <w:rFonts w:ascii="Times New Roman" w:hAnsi="Times New Roman" w:cs="Times New Roman"/>
          <w:sz w:val="24"/>
          <w:szCs w:val="24"/>
        </w:rPr>
      </w:pPr>
    </w:p>
    <w:p w:rsidR="00532D21" w:rsidRPr="00745F41" w:rsidRDefault="00532D21" w:rsidP="005C79D9">
      <w:pPr>
        <w:spacing w:after="0" w:line="240" w:lineRule="auto"/>
        <w:jc w:val="both"/>
        <w:rPr>
          <w:rFonts w:ascii="Times New Roman" w:hAnsi="Times New Roman" w:cs="Times New Roman"/>
          <w:sz w:val="24"/>
          <w:szCs w:val="24"/>
        </w:rPr>
      </w:pPr>
      <w:proofErr w:type="gramStart"/>
      <w:r w:rsidRPr="00745F41">
        <w:rPr>
          <w:rFonts w:ascii="Times New Roman" w:hAnsi="Times New Roman" w:cs="Times New Roman"/>
          <w:sz w:val="24"/>
          <w:szCs w:val="24"/>
        </w:rPr>
        <w:lastRenderedPageBreak/>
        <w:t xml:space="preserve">Layard, </w:t>
      </w:r>
      <w:r w:rsidR="00E524EE" w:rsidRPr="00745F41">
        <w:rPr>
          <w:rFonts w:ascii="Times New Roman" w:hAnsi="Times New Roman" w:cs="Times New Roman"/>
          <w:sz w:val="24"/>
          <w:szCs w:val="24"/>
        </w:rPr>
        <w:t xml:space="preserve">R., Clark, A., </w:t>
      </w:r>
      <w:r w:rsidR="00C86D66" w:rsidRPr="00745F41">
        <w:rPr>
          <w:rFonts w:ascii="Times New Roman" w:hAnsi="Times New Roman" w:cs="Times New Roman"/>
          <w:sz w:val="24"/>
          <w:szCs w:val="24"/>
        </w:rPr>
        <w:t xml:space="preserve">De Neve, J., </w:t>
      </w:r>
      <w:r w:rsidR="00745F41">
        <w:rPr>
          <w:rFonts w:ascii="Times New Roman" w:hAnsi="Times New Roman" w:cs="Times New Roman"/>
          <w:sz w:val="24"/>
          <w:szCs w:val="24"/>
        </w:rPr>
        <w:t xml:space="preserve">Krekel, C., </w:t>
      </w:r>
      <w:proofErr w:type="spellStart"/>
      <w:r w:rsidR="00745F41">
        <w:rPr>
          <w:rFonts w:ascii="Times New Roman" w:hAnsi="Times New Roman" w:cs="Times New Roman"/>
          <w:sz w:val="24"/>
          <w:szCs w:val="24"/>
        </w:rPr>
        <w:t>Fancourt</w:t>
      </w:r>
      <w:proofErr w:type="spellEnd"/>
      <w:r w:rsidR="00745F41">
        <w:rPr>
          <w:rFonts w:ascii="Times New Roman" w:hAnsi="Times New Roman" w:cs="Times New Roman"/>
          <w:sz w:val="24"/>
          <w:szCs w:val="24"/>
        </w:rPr>
        <w:t xml:space="preserve">, D., </w:t>
      </w:r>
      <w:r w:rsidR="00DE57C2">
        <w:rPr>
          <w:rFonts w:ascii="Times New Roman" w:hAnsi="Times New Roman" w:cs="Times New Roman"/>
          <w:sz w:val="24"/>
          <w:szCs w:val="24"/>
        </w:rPr>
        <w:t xml:space="preserve">Hey, N., and O’Donnell, G., </w:t>
      </w:r>
      <w:r w:rsidR="00C86D66" w:rsidRPr="00745F41">
        <w:rPr>
          <w:rFonts w:ascii="Times New Roman" w:hAnsi="Times New Roman" w:cs="Times New Roman"/>
          <w:sz w:val="24"/>
          <w:szCs w:val="24"/>
        </w:rPr>
        <w:t>2020.</w:t>
      </w:r>
      <w:proofErr w:type="gramEnd"/>
      <w:r w:rsidR="00C86D66" w:rsidRPr="00745F41">
        <w:rPr>
          <w:rFonts w:ascii="Times New Roman" w:hAnsi="Times New Roman" w:cs="Times New Roman"/>
          <w:sz w:val="24"/>
          <w:szCs w:val="24"/>
        </w:rPr>
        <w:t xml:space="preserve">  “When to Release the Lockdown: A Wellbeing Framework for Analysing Costs and Benefits”, </w:t>
      </w:r>
      <w:r w:rsidR="00745F41" w:rsidRPr="00745F41">
        <w:rPr>
          <w:rFonts w:ascii="Times New Roman" w:hAnsi="Times New Roman" w:cs="Times New Roman"/>
          <w:sz w:val="24"/>
          <w:szCs w:val="24"/>
        </w:rPr>
        <w:t xml:space="preserve">working paper, LSE, </w:t>
      </w:r>
      <w:hyperlink r:id="rId41" w:history="1">
        <w:r w:rsidR="00745F41" w:rsidRPr="00745F41">
          <w:rPr>
            <w:rStyle w:val="Hyperlink"/>
            <w:rFonts w:ascii="Times New Roman" w:hAnsi="Times New Roman" w:cs="Times New Roman"/>
            <w:sz w:val="24"/>
            <w:szCs w:val="24"/>
          </w:rPr>
          <w:t>http://cep.lse.ac.uk/pubs/download/occasional/op049.pdf</w:t>
        </w:r>
      </w:hyperlink>
      <w:r w:rsidR="00745F41" w:rsidRPr="00745F41">
        <w:rPr>
          <w:rFonts w:ascii="Times New Roman" w:hAnsi="Times New Roman" w:cs="Times New Roman"/>
          <w:sz w:val="24"/>
          <w:szCs w:val="24"/>
        </w:rPr>
        <w:t>.</w:t>
      </w:r>
    </w:p>
    <w:p w:rsidR="00532D21" w:rsidRDefault="00532D21" w:rsidP="005C79D9">
      <w:pPr>
        <w:spacing w:after="0" w:line="240" w:lineRule="auto"/>
        <w:jc w:val="both"/>
        <w:rPr>
          <w:rFonts w:ascii="Times New Roman" w:hAnsi="Times New Roman" w:cs="Times New Roman"/>
          <w:sz w:val="24"/>
          <w:szCs w:val="24"/>
        </w:rPr>
      </w:pPr>
    </w:p>
    <w:p w:rsidR="00742314" w:rsidRPr="0033361D" w:rsidRDefault="00742314" w:rsidP="005C79D9">
      <w:pPr>
        <w:spacing w:after="0" w:line="240" w:lineRule="auto"/>
        <w:jc w:val="both"/>
        <w:rPr>
          <w:rFonts w:ascii="Times New Roman" w:hAnsi="Times New Roman" w:cs="Times New Roman"/>
          <w:sz w:val="24"/>
          <w:szCs w:val="24"/>
        </w:rPr>
      </w:pPr>
      <w:proofErr w:type="gramStart"/>
      <w:r w:rsidRPr="0033361D">
        <w:rPr>
          <w:rFonts w:ascii="Times New Roman" w:hAnsi="Times New Roman" w:cs="Times New Roman"/>
          <w:sz w:val="24"/>
          <w:szCs w:val="24"/>
        </w:rPr>
        <w:t>Miles, D.,</w:t>
      </w:r>
      <w:r w:rsidR="00F16FE7" w:rsidRPr="0033361D">
        <w:rPr>
          <w:rFonts w:ascii="Times New Roman" w:hAnsi="Times New Roman" w:cs="Times New Roman"/>
          <w:sz w:val="24"/>
          <w:szCs w:val="24"/>
        </w:rPr>
        <w:t xml:space="preserve"> Steadman, M., and </w:t>
      </w:r>
      <w:proofErr w:type="spellStart"/>
      <w:r w:rsidR="00F16FE7" w:rsidRPr="0033361D">
        <w:rPr>
          <w:rFonts w:ascii="Times New Roman" w:hAnsi="Times New Roman" w:cs="Times New Roman"/>
          <w:sz w:val="24"/>
          <w:szCs w:val="24"/>
        </w:rPr>
        <w:t>Heald</w:t>
      </w:r>
      <w:proofErr w:type="spellEnd"/>
      <w:r w:rsidR="00F16FE7" w:rsidRPr="0033361D">
        <w:rPr>
          <w:rFonts w:ascii="Times New Roman" w:hAnsi="Times New Roman" w:cs="Times New Roman"/>
          <w:sz w:val="24"/>
          <w:szCs w:val="24"/>
        </w:rPr>
        <w:t>, A.,</w:t>
      </w:r>
      <w:r w:rsidRPr="0033361D">
        <w:rPr>
          <w:rFonts w:ascii="Times New Roman" w:hAnsi="Times New Roman" w:cs="Times New Roman"/>
          <w:sz w:val="24"/>
          <w:szCs w:val="24"/>
        </w:rPr>
        <w:t xml:space="preserve"> 2020.</w:t>
      </w:r>
      <w:proofErr w:type="gramEnd"/>
      <w:r w:rsidRPr="0033361D">
        <w:rPr>
          <w:rFonts w:ascii="Times New Roman" w:hAnsi="Times New Roman" w:cs="Times New Roman"/>
          <w:sz w:val="24"/>
          <w:szCs w:val="24"/>
        </w:rPr>
        <w:t xml:space="preserve">  </w:t>
      </w:r>
      <w:r w:rsidR="002F1220">
        <w:rPr>
          <w:rFonts w:ascii="Times New Roman" w:hAnsi="Times New Roman" w:cs="Times New Roman"/>
          <w:sz w:val="24"/>
          <w:szCs w:val="24"/>
        </w:rPr>
        <w:t>“</w:t>
      </w:r>
      <w:r w:rsidR="00F16FE7" w:rsidRPr="0033361D">
        <w:rPr>
          <w:rFonts w:ascii="Times New Roman" w:hAnsi="Times New Roman" w:cs="Times New Roman"/>
          <w:sz w:val="24"/>
          <w:szCs w:val="24"/>
        </w:rPr>
        <w:t xml:space="preserve">Living with Covid-19: Balancing Costs </w:t>
      </w:r>
      <w:proofErr w:type="gramStart"/>
      <w:r w:rsidR="00F16FE7" w:rsidRPr="0033361D">
        <w:rPr>
          <w:rFonts w:ascii="Times New Roman" w:hAnsi="Times New Roman" w:cs="Times New Roman"/>
          <w:sz w:val="24"/>
          <w:szCs w:val="24"/>
        </w:rPr>
        <w:t>Against</w:t>
      </w:r>
      <w:proofErr w:type="gramEnd"/>
      <w:r w:rsidR="00F16FE7" w:rsidRPr="0033361D">
        <w:rPr>
          <w:rFonts w:ascii="Times New Roman" w:hAnsi="Times New Roman" w:cs="Times New Roman"/>
          <w:sz w:val="24"/>
          <w:szCs w:val="24"/>
        </w:rPr>
        <w:t xml:space="preserve"> Benefits in the Face of the Virus</w:t>
      </w:r>
      <w:r w:rsidR="002F1220">
        <w:rPr>
          <w:rFonts w:ascii="Times New Roman" w:hAnsi="Times New Roman" w:cs="Times New Roman"/>
          <w:sz w:val="24"/>
          <w:szCs w:val="24"/>
        </w:rPr>
        <w:t>”</w:t>
      </w:r>
      <w:r w:rsidR="00F16FE7" w:rsidRPr="0033361D">
        <w:rPr>
          <w:rFonts w:ascii="Times New Roman" w:hAnsi="Times New Roman" w:cs="Times New Roman"/>
          <w:sz w:val="24"/>
          <w:szCs w:val="24"/>
        </w:rPr>
        <w:t xml:space="preserve">, </w:t>
      </w:r>
      <w:r w:rsidR="0033361D" w:rsidRPr="0033361D">
        <w:rPr>
          <w:rFonts w:ascii="Times New Roman" w:hAnsi="Times New Roman" w:cs="Times New Roman"/>
          <w:i/>
          <w:sz w:val="24"/>
          <w:szCs w:val="24"/>
        </w:rPr>
        <w:t>National Institute Economic Review</w:t>
      </w:r>
      <w:r w:rsidR="0033361D" w:rsidRPr="0033361D">
        <w:rPr>
          <w:rFonts w:ascii="Times New Roman" w:hAnsi="Times New Roman" w:cs="Times New Roman"/>
          <w:sz w:val="24"/>
          <w:szCs w:val="24"/>
        </w:rPr>
        <w:t xml:space="preserve">, forthcoming </w:t>
      </w:r>
      <w:hyperlink r:id="rId42" w:history="1">
        <w:r w:rsidR="0033361D" w:rsidRPr="0033361D">
          <w:rPr>
            <w:rStyle w:val="Hyperlink"/>
            <w:rFonts w:ascii="Times New Roman" w:hAnsi="Times New Roman" w:cs="Times New Roman"/>
            <w:sz w:val="24"/>
            <w:szCs w:val="24"/>
          </w:rPr>
          <w:t>http://www.imperial.ac.uk/people/d.miles</w:t>
        </w:r>
      </w:hyperlink>
      <w:r w:rsidR="0033361D" w:rsidRPr="0033361D">
        <w:rPr>
          <w:rFonts w:ascii="Times New Roman" w:hAnsi="Times New Roman" w:cs="Times New Roman"/>
          <w:sz w:val="24"/>
          <w:szCs w:val="24"/>
        </w:rPr>
        <w:t>.</w:t>
      </w:r>
    </w:p>
    <w:p w:rsidR="00742314" w:rsidRDefault="00742314" w:rsidP="005C79D9">
      <w:pPr>
        <w:spacing w:after="0" w:line="240" w:lineRule="auto"/>
        <w:jc w:val="both"/>
        <w:rPr>
          <w:rFonts w:ascii="Times New Roman" w:hAnsi="Times New Roman" w:cs="Times New Roman"/>
          <w:sz w:val="24"/>
          <w:szCs w:val="24"/>
        </w:rPr>
      </w:pPr>
    </w:p>
    <w:p w:rsidR="00742CA4" w:rsidRDefault="00742CA4" w:rsidP="005C79D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Mills, M., and Allen, </w:t>
      </w:r>
      <w:r w:rsidR="00857D87">
        <w:rPr>
          <w:rFonts w:ascii="Times New Roman" w:hAnsi="Times New Roman" w:cs="Times New Roman"/>
          <w:sz w:val="24"/>
          <w:szCs w:val="24"/>
        </w:rPr>
        <w:t>M</w:t>
      </w:r>
      <w:r>
        <w:rPr>
          <w:rFonts w:ascii="Times New Roman" w:hAnsi="Times New Roman" w:cs="Times New Roman"/>
          <w:sz w:val="24"/>
          <w:szCs w:val="24"/>
        </w:rPr>
        <w:t>., 2020.</w:t>
      </w:r>
      <w:proofErr w:type="gramEnd"/>
      <w:r>
        <w:rPr>
          <w:rFonts w:ascii="Times New Roman" w:hAnsi="Times New Roman" w:cs="Times New Roman"/>
          <w:sz w:val="24"/>
          <w:szCs w:val="24"/>
        </w:rPr>
        <w:t xml:space="preserve">  </w:t>
      </w:r>
      <w:r w:rsidR="00B56BEF">
        <w:rPr>
          <w:rFonts w:ascii="Times New Roman" w:hAnsi="Times New Roman" w:cs="Times New Roman"/>
          <w:sz w:val="24"/>
          <w:szCs w:val="24"/>
        </w:rPr>
        <w:t>“</w:t>
      </w:r>
      <w:r>
        <w:rPr>
          <w:rFonts w:ascii="Times New Roman" w:hAnsi="Times New Roman" w:cs="Times New Roman"/>
          <w:sz w:val="24"/>
          <w:szCs w:val="24"/>
        </w:rPr>
        <w:t>Notes on Cost B</w:t>
      </w:r>
      <w:r w:rsidR="00FF7DED">
        <w:rPr>
          <w:rFonts w:ascii="Times New Roman" w:hAnsi="Times New Roman" w:cs="Times New Roman"/>
          <w:sz w:val="24"/>
          <w:szCs w:val="24"/>
        </w:rPr>
        <w:t>enefit of Covid-19 Lockdown</w:t>
      </w:r>
      <w:r w:rsidR="00B56BEF">
        <w:rPr>
          <w:rFonts w:ascii="Times New Roman" w:hAnsi="Times New Roman" w:cs="Times New Roman"/>
          <w:sz w:val="24"/>
          <w:szCs w:val="24"/>
        </w:rPr>
        <w:t>”</w:t>
      </w:r>
      <w:r w:rsidR="00FF7DED">
        <w:rPr>
          <w:rFonts w:ascii="Times New Roman" w:hAnsi="Times New Roman" w:cs="Times New Roman"/>
          <w:sz w:val="24"/>
          <w:szCs w:val="24"/>
        </w:rPr>
        <w:t xml:space="preserve">, </w:t>
      </w:r>
      <w:r w:rsidR="00FF7DED">
        <w:rPr>
          <w:rFonts w:ascii="Times New Roman" w:hAnsi="Times New Roman" w:cs="Times New Roman"/>
          <w:i/>
          <w:sz w:val="24"/>
          <w:szCs w:val="24"/>
        </w:rPr>
        <w:t>Journal of Applied Clinical Medical Physics</w:t>
      </w:r>
      <w:r w:rsidR="00FF7DED">
        <w:rPr>
          <w:rFonts w:ascii="Times New Roman" w:hAnsi="Times New Roman" w:cs="Times New Roman"/>
          <w:sz w:val="24"/>
          <w:szCs w:val="24"/>
        </w:rPr>
        <w:t>, vol. 21 (7), pp. 4-6.</w:t>
      </w:r>
    </w:p>
    <w:p w:rsidR="009C58B2" w:rsidRDefault="009C58B2" w:rsidP="005C79D9">
      <w:pPr>
        <w:spacing w:after="0" w:line="240" w:lineRule="auto"/>
        <w:jc w:val="both"/>
        <w:rPr>
          <w:rFonts w:ascii="Times New Roman" w:hAnsi="Times New Roman" w:cs="Times New Roman"/>
          <w:sz w:val="24"/>
          <w:szCs w:val="24"/>
        </w:rPr>
      </w:pPr>
    </w:p>
    <w:p w:rsidR="00AF6384" w:rsidRPr="00AF6384" w:rsidRDefault="00AF6384" w:rsidP="005C79D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Ministry of Transport, 2019.</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Social Cost of Road Crashes and Injuries</w:t>
      </w:r>
      <w:r w:rsidR="00EF11D4">
        <w:rPr>
          <w:rFonts w:ascii="Times New Roman" w:hAnsi="Times New Roman" w:cs="Times New Roman"/>
          <w:sz w:val="24"/>
          <w:szCs w:val="24"/>
        </w:rPr>
        <w:t xml:space="preserve">, </w:t>
      </w:r>
      <w:hyperlink r:id="rId43" w:history="1">
        <w:r w:rsidR="00EF11D4" w:rsidRPr="00B740C7">
          <w:rPr>
            <w:rStyle w:val="Hyperlink"/>
            <w:rFonts w:ascii="Times New Roman" w:hAnsi="Times New Roman" w:cs="Times New Roman"/>
            <w:sz w:val="24"/>
            <w:szCs w:val="24"/>
          </w:rPr>
          <w:t>https://www.transport.govt.nz/assets/Import/Uploads/Research/Documents/b67f729bf5/Social-cost-of-road-crashes-and-injuries-2018-update.pdf</w:t>
        </w:r>
      </w:hyperlink>
      <w:r w:rsidR="00EF11D4">
        <w:rPr>
          <w:rFonts w:ascii="Times New Roman" w:hAnsi="Times New Roman" w:cs="Times New Roman"/>
          <w:sz w:val="24"/>
          <w:szCs w:val="24"/>
        </w:rPr>
        <w:t>.</w:t>
      </w:r>
      <w:proofErr w:type="gramEnd"/>
      <w:r w:rsidR="00EF11D4">
        <w:rPr>
          <w:rFonts w:ascii="Times New Roman" w:hAnsi="Times New Roman" w:cs="Times New Roman"/>
          <w:sz w:val="24"/>
          <w:szCs w:val="24"/>
        </w:rPr>
        <w:t xml:space="preserve"> </w:t>
      </w:r>
    </w:p>
    <w:p w:rsidR="00AF6384" w:rsidRDefault="00AF6384" w:rsidP="005C79D9">
      <w:pPr>
        <w:spacing w:after="0" w:line="240" w:lineRule="auto"/>
        <w:jc w:val="both"/>
        <w:rPr>
          <w:rFonts w:ascii="Times New Roman" w:hAnsi="Times New Roman" w:cs="Times New Roman"/>
          <w:sz w:val="24"/>
          <w:szCs w:val="24"/>
        </w:rPr>
      </w:pPr>
    </w:p>
    <w:p w:rsidR="0013118C" w:rsidRPr="0013118C" w:rsidRDefault="0013118C" w:rsidP="0013118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National Crisis Management Centre, 2020.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Covid-19 Weekly Monitoring Report 15/04/2020</w:t>
      </w:r>
      <w:r>
        <w:rPr>
          <w:rFonts w:ascii="Times New Roman" w:hAnsi="Times New Roman" w:cs="Times New Roman"/>
          <w:sz w:val="24"/>
          <w:szCs w:val="24"/>
          <w:lang w:val="en-US"/>
        </w:rPr>
        <w:t xml:space="preserve"> (</w:t>
      </w:r>
      <w:hyperlink r:id="rId44" w:history="1">
        <w:r w:rsidRPr="009A30A0">
          <w:rPr>
            <w:rStyle w:val="Hyperlink"/>
            <w:rFonts w:ascii="Times New Roman" w:hAnsi="Times New Roman" w:cs="Times New Roman"/>
            <w:sz w:val="24"/>
            <w:szCs w:val="24"/>
            <w:lang w:val="en-US"/>
          </w:rPr>
          <w:t>https://covid19.govt.nz/assets/resources/proactive-release/COVID-19-Weekly-Monitoring-Report.pdf</w:t>
        </w:r>
      </w:hyperlink>
      <w:r>
        <w:rPr>
          <w:rFonts w:ascii="Times New Roman" w:hAnsi="Times New Roman" w:cs="Times New Roman"/>
          <w:sz w:val="24"/>
          <w:szCs w:val="24"/>
          <w:lang w:val="en-US"/>
        </w:rPr>
        <w:t>).</w:t>
      </w:r>
      <w:proofErr w:type="gramEnd"/>
    </w:p>
    <w:p w:rsidR="0013118C" w:rsidRDefault="0013118C" w:rsidP="005C79D9">
      <w:pPr>
        <w:spacing w:after="0" w:line="240" w:lineRule="auto"/>
        <w:jc w:val="both"/>
        <w:rPr>
          <w:rFonts w:ascii="Times New Roman" w:hAnsi="Times New Roman" w:cs="Times New Roman"/>
          <w:sz w:val="24"/>
          <w:szCs w:val="24"/>
        </w:rPr>
      </w:pPr>
    </w:p>
    <w:p w:rsidR="00471A42" w:rsidRPr="00A83A10" w:rsidRDefault="00471A42" w:rsidP="005C79D9">
      <w:pPr>
        <w:spacing w:after="0" w:line="240" w:lineRule="auto"/>
        <w:jc w:val="both"/>
        <w:rPr>
          <w:rFonts w:ascii="Times New Roman" w:hAnsi="Times New Roman" w:cs="Times New Roman"/>
          <w:sz w:val="24"/>
          <w:szCs w:val="24"/>
        </w:rPr>
      </w:pPr>
      <w:proofErr w:type="gramStart"/>
      <w:r w:rsidRPr="00A83A10">
        <w:rPr>
          <w:rFonts w:ascii="Times New Roman" w:hAnsi="Times New Roman" w:cs="Times New Roman"/>
          <w:sz w:val="24"/>
          <w:szCs w:val="24"/>
        </w:rPr>
        <w:t>NHS, 2018.</w:t>
      </w:r>
      <w:proofErr w:type="gramEnd"/>
      <w:r w:rsidRPr="00A83A10">
        <w:rPr>
          <w:rFonts w:ascii="Times New Roman" w:hAnsi="Times New Roman" w:cs="Times New Roman"/>
          <w:sz w:val="24"/>
          <w:szCs w:val="24"/>
        </w:rPr>
        <w:t xml:space="preserve"> </w:t>
      </w:r>
      <w:r w:rsidRPr="00A83A10">
        <w:rPr>
          <w:rFonts w:ascii="Times New Roman" w:hAnsi="Times New Roman" w:cs="Times New Roman"/>
          <w:i/>
          <w:sz w:val="24"/>
          <w:szCs w:val="24"/>
        </w:rPr>
        <w:t>National Diabetes Audit</w:t>
      </w:r>
      <w:r w:rsidR="00A83A10" w:rsidRPr="00A83A10">
        <w:rPr>
          <w:rFonts w:ascii="Times New Roman" w:hAnsi="Times New Roman" w:cs="Times New Roman"/>
          <w:i/>
          <w:sz w:val="24"/>
          <w:szCs w:val="24"/>
        </w:rPr>
        <w:t xml:space="preserve"> 2017-2018</w:t>
      </w:r>
      <w:r w:rsidR="00A83A10">
        <w:rPr>
          <w:rFonts w:ascii="Times New Roman" w:hAnsi="Times New Roman" w:cs="Times New Roman"/>
          <w:i/>
          <w:sz w:val="24"/>
          <w:szCs w:val="24"/>
        </w:rPr>
        <w:t xml:space="preserve"> Report 2a: Complications and Mortality</w:t>
      </w:r>
      <w:r w:rsidRPr="00A83A10">
        <w:rPr>
          <w:rFonts w:ascii="Times New Roman" w:hAnsi="Times New Roman" w:cs="Times New Roman"/>
          <w:sz w:val="24"/>
          <w:szCs w:val="24"/>
        </w:rPr>
        <w:t xml:space="preserve">, </w:t>
      </w:r>
      <w:hyperlink r:id="rId45" w:history="1">
        <w:r w:rsidR="00A83A10" w:rsidRPr="00A83A10">
          <w:rPr>
            <w:rStyle w:val="Hyperlink"/>
            <w:rFonts w:ascii="Times New Roman" w:hAnsi="Times New Roman" w:cs="Times New Roman"/>
            <w:sz w:val="24"/>
            <w:szCs w:val="24"/>
          </w:rPr>
          <w:t>https://files.digital.nhs.uk/91/084B1D/National%20Diabetes%20Audit%2C%202017-18%2C%20Report%202a.pdf</w:t>
        </w:r>
      </w:hyperlink>
      <w:r w:rsidR="00A83A10" w:rsidRPr="00A83A10">
        <w:rPr>
          <w:rFonts w:ascii="Times New Roman" w:hAnsi="Times New Roman" w:cs="Times New Roman"/>
          <w:sz w:val="24"/>
          <w:szCs w:val="24"/>
        </w:rPr>
        <w:t>.</w:t>
      </w:r>
    </w:p>
    <w:p w:rsidR="00471A42" w:rsidRDefault="00471A42" w:rsidP="005C79D9">
      <w:pPr>
        <w:spacing w:after="0" w:line="240" w:lineRule="auto"/>
        <w:jc w:val="both"/>
        <w:rPr>
          <w:rFonts w:ascii="Times New Roman" w:hAnsi="Times New Roman" w:cs="Times New Roman"/>
          <w:sz w:val="24"/>
          <w:szCs w:val="24"/>
        </w:rPr>
      </w:pPr>
    </w:p>
    <w:p w:rsidR="00B765F3" w:rsidRPr="00B765F3" w:rsidRDefault="00B765F3" w:rsidP="005C79D9">
      <w:pPr>
        <w:spacing w:after="0" w:line="240" w:lineRule="auto"/>
        <w:jc w:val="both"/>
        <w:rPr>
          <w:rFonts w:ascii="Times New Roman" w:hAnsi="Times New Roman" w:cs="Times New Roman"/>
          <w:sz w:val="24"/>
          <w:szCs w:val="24"/>
        </w:rPr>
      </w:pPr>
      <w:proofErr w:type="spellStart"/>
      <w:proofErr w:type="gramStart"/>
      <w:r w:rsidRPr="00B765F3">
        <w:rPr>
          <w:rFonts w:ascii="Times New Roman" w:hAnsi="Times New Roman" w:cs="Times New Roman"/>
          <w:sz w:val="24"/>
          <w:szCs w:val="24"/>
        </w:rPr>
        <w:t>Pharmac</w:t>
      </w:r>
      <w:proofErr w:type="spellEnd"/>
      <w:r w:rsidRPr="00B765F3">
        <w:rPr>
          <w:rFonts w:ascii="Times New Roman" w:hAnsi="Times New Roman" w:cs="Times New Roman"/>
          <w:sz w:val="24"/>
          <w:szCs w:val="24"/>
        </w:rPr>
        <w:t>, 2015.</w:t>
      </w:r>
      <w:proofErr w:type="gramEnd"/>
      <w:r w:rsidRPr="00B765F3">
        <w:rPr>
          <w:rFonts w:ascii="Times New Roman" w:hAnsi="Times New Roman" w:cs="Times New Roman"/>
          <w:sz w:val="24"/>
          <w:szCs w:val="24"/>
        </w:rPr>
        <w:t xml:space="preserve"> </w:t>
      </w:r>
      <w:r w:rsidRPr="00B765F3">
        <w:rPr>
          <w:rFonts w:ascii="Times New Roman" w:hAnsi="Times New Roman" w:cs="Times New Roman"/>
          <w:i/>
          <w:sz w:val="24"/>
          <w:szCs w:val="24"/>
        </w:rPr>
        <w:t xml:space="preserve">Prescription for </w:t>
      </w:r>
      <w:proofErr w:type="spellStart"/>
      <w:r w:rsidRPr="00B765F3">
        <w:rPr>
          <w:rFonts w:ascii="Times New Roman" w:hAnsi="Times New Roman" w:cs="Times New Roman"/>
          <w:i/>
          <w:sz w:val="24"/>
          <w:szCs w:val="24"/>
        </w:rPr>
        <w:t>Pharmacoeconomic</w:t>
      </w:r>
      <w:proofErr w:type="spellEnd"/>
      <w:r w:rsidRPr="00B765F3">
        <w:rPr>
          <w:rFonts w:ascii="Times New Roman" w:hAnsi="Times New Roman" w:cs="Times New Roman"/>
          <w:i/>
          <w:sz w:val="24"/>
          <w:szCs w:val="24"/>
        </w:rPr>
        <w:t xml:space="preserve"> Analysis: Methods for Cost Utility Analysis</w:t>
      </w:r>
      <w:r w:rsidRPr="00B765F3">
        <w:rPr>
          <w:rFonts w:ascii="Times New Roman" w:hAnsi="Times New Roman" w:cs="Times New Roman"/>
          <w:sz w:val="24"/>
          <w:szCs w:val="24"/>
        </w:rPr>
        <w:t xml:space="preserve">, </w:t>
      </w:r>
      <w:hyperlink r:id="rId46" w:history="1">
        <w:r w:rsidRPr="00B765F3">
          <w:rPr>
            <w:rStyle w:val="Hyperlink"/>
            <w:rFonts w:ascii="Times New Roman" w:hAnsi="Times New Roman" w:cs="Times New Roman"/>
            <w:sz w:val="24"/>
            <w:szCs w:val="24"/>
          </w:rPr>
          <w:t>https://www.pharmac.govt.nz/assets/pfpa-2-2.pdf</w:t>
        </w:r>
      </w:hyperlink>
      <w:r w:rsidRPr="00B765F3">
        <w:rPr>
          <w:rFonts w:ascii="Times New Roman" w:hAnsi="Times New Roman" w:cs="Times New Roman"/>
          <w:sz w:val="24"/>
          <w:szCs w:val="24"/>
        </w:rPr>
        <w:t>.</w:t>
      </w:r>
    </w:p>
    <w:p w:rsidR="00B765F3" w:rsidRDefault="00B765F3" w:rsidP="005C79D9">
      <w:pPr>
        <w:spacing w:after="0" w:line="240" w:lineRule="auto"/>
        <w:jc w:val="both"/>
        <w:rPr>
          <w:rFonts w:ascii="Times New Roman" w:hAnsi="Times New Roman" w:cs="Times New Roman"/>
          <w:sz w:val="24"/>
          <w:szCs w:val="24"/>
        </w:rPr>
      </w:pPr>
    </w:p>
    <w:p w:rsidR="00526424" w:rsidRPr="00526424" w:rsidRDefault="00526424" w:rsidP="005C79D9">
      <w:pPr>
        <w:spacing w:after="0" w:line="240" w:lineRule="auto"/>
        <w:jc w:val="both"/>
        <w:rPr>
          <w:rFonts w:ascii="Times New Roman" w:hAnsi="Times New Roman" w:cs="Times New Roman"/>
          <w:sz w:val="24"/>
          <w:szCs w:val="24"/>
        </w:rPr>
      </w:pPr>
      <w:proofErr w:type="spellStart"/>
      <w:r w:rsidRPr="00526424">
        <w:rPr>
          <w:rFonts w:ascii="Times New Roman" w:hAnsi="Times New Roman" w:cs="Times New Roman"/>
          <w:sz w:val="24"/>
          <w:szCs w:val="24"/>
        </w:rPr>
        <w:t>Sebhatu</w:t>
      </w:r>
      <w:proofErr w:type="spellEnd"/>
      <w:r w:rsidRPr="00526424">
        <w:rPr>
          <w:rFonts w:ascii="Times New Roman" w:hAnsi="Times New Roman" w:cs="Times New Roman"/>
          <w:sz w:val="24"/>
          <w:szCs w:val="24"/>
        </w:rPr>
        <w:t xml:space="preserve">, A., </w:t>
      </w:r>
      <w:proofErr w:type="spellStart"/>
      <w:r w:rsidRPr="00526424">
        <w:rPr>
          <w:rFonts w:ascii="Times New Roman" w:hAnsi="Times New Roman" w:cs="Times New Roman"/>
          <w:sz w:val="24"/>
          <w:szCs w:val="24"/>
        </w:rPr>
        <w:t>Wennberg</w:t>
      </w:r>
      <w:proofErr w:type="spellEnd"/>
      <w:r w:rsidRPr="00526424">
        <w:rPr>
          <w:rFonts w:ascii="Times New Roman" w:hAnsi="Times New Roman" w:cs="Times New Roman"/>
          <w:sz w:val="24"/>
          <w:szCs w:val="24"/>
        </w:rPr>
        <w:t>, K., Arora-</w:t>
      </w:r>
      <w:proofErr w:type="spellStart"/>
      <w:r w:rsidRPr="00526424">
        <w:rPr>
          <w:rFonts w:ascii="Times New Roman" w:hAnsi="Times New Roman" w:cs="Times New Roman"/>
          <w:sz w:val="24"/>
          <w:szCs w:val="24"/>
        </w:rPr>
        <w:t>Jonsson</w:t>
      </w:r>
      <w:proofErr w:type="spellEnd"/>
      <w:r w:rsidRPr="00526424">
        <w:rPr>
          <w:rFonts w:ascii="Times New Roman" w:hAnsi="Times New Roman" w:cs="Times New Roman"/>
          <w:sz w:val="24"/>
          <w:szCs w:val="24"/>
        </w:rPr>
        <w:t xml:space="preserve">, S., and Lindberg, S., 2020.  “Explaining the Homogeneous Diffusion of COVID-19 </w:t>
      </w:r>
      <w:proofErr w:type="spellStart"/>
      <w:r w:rsidRPr="00526424">
        <w:rPr>
          <w:rFonts w:ascii="Times New Roman" w:hAnsi="Times New Roman" w:cs="Times New Roman"/>
          <w:sz w:val="24"/>
          <w:szCs w:val="24"/>
        </w:rPr>
        <w:t>Nonpharmaceutical</w:t>
      </w:r>
      <w:proofErr w:type="spellEnd"/>
      <w:r w:rsidRPr="00526424">
        <w:rPr>
          <w:rFonts w:ascii="Times New Roman" w:hAnsi="Times New Roman" w:cs="Times New Roman"/>
          <w:sz w:val="24"/>
          <w:szCs w:val="24"/>
        </w:rPr>
        <w:t xml:space="preserve"> Interventions across Heterogeneous Countries”, </w:t>
      </w:r>
      <w:r>
        <w:rPr>
          <w:rFonts w:ascii="Times New Roman" w:hAnsi="Times New Roman" w:cs="Times New Roman"/>
          <w:i/>
          <w:sz w:val="24"/>
          <w:szCs w:val="24"/>
        </w:rPr>
        <w:t>Proceedings of the National Academy of Sciences</w:t>
      </w:r>
      <w:r>
        <w:rPr>
          <w:rFonts w:ascii="Times New Roman" w:hAnsi="Times New Roman" w:cs="Times New Roman"/>
          <w:sz w:val="24"/>
          <w:szCs w:val="24"/>
        </w:rPr>
        <w:t>,</w:t>
      </w:r>
      <w:r w:rsidRPr="00526424">
        <w:rPr>
          <w:rFonts w:ascii="Times New Roman" w:hAnsi="Times New Roman" w:cs="Times New Roman"/>
          <w:i/>
          <w:sz w:val="24"/>
          <w:szCs w:val="24"/>
        </w:rPr>
        <w:t xml:space="preserve"> </w:t>
      </w:r>
      <w:hyperlink r:id="rId47" w:history="1">
        <w:r w:rsidRPr="00526424">
          <w:rPr>
            <w:rStyle w:val="Hyperlink"/>
            <w:rFonts w:ascii="Times New Roman" w:hAnsi="Times New Roman" w:cs="Times New Roman"/>
            <w:sz w:val="24"/>
            <w:szCs w:val="24"/>
          </w:rPr>
          <w:t>https://www.pnas.org/content/117/35/21201</w:t>
        </w:r>
      </w:hyperlink>
      <w:r w:rsidRPr="00526424">
        <w:rPr>
          <w:rFonts w:ascii="Times New Roman" w:hAnsi="Times New Roman" w:cs="Times New Roman"/>
          <w:sz w:val="24"/>
          <w:szCs w:val="24"/>
        </w:rPr>
        <w:t>.</w:t>
      </w:r>
    </w:p>
    <w:p w:rsidR="00526424" w:rsidRDefault="00526424" w:rsidP="005C79D9">
      <w:pPr>
        <w:spacing w:after="0" w:line="240" w:lineRule="auto"/>
        <w:jc w:val="both"/>
        <w:rPr>
          <w:rFonts w:ascii="Times New Roman" w:hAnsi="Times New Roman" w:cs="Times New Roman"/>
          <w:sz w:val="24"/>
          <w:szCs w:val="24"/>
        </w:rPr>
      </w:pPr>
    </w:p>
    <w:p w:rsidR="00780D7B" w:rsidRDefault="00780D7B" w:rsidP="005C7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342A5">
        <w:rPr>
          <w:rFonts w:ascii="Times New Roman" w:hAnsi="Times New Roman" w:cs="Times New Roman"/>
          <w:sz w:val="24"/>
          <w:szCs w:val="24"/>
        </w:rPr>
        <w:t xml:space="preserve">tern, C., and Klein, D., 2020.  </w:t>
      </w:r>
      <w:proofErr w:type="gramStart"/>
      <w:r w:rsidR="00C342A5">
        <w:rPr>
          <w:rFonts w:ascii="Times New Roman" w:hAnsi="Times New Roman" w:cs="Times New Roman"/>
          <w:sz w:val="24"/>
          <w:szCs w:val="24"/>
        </w:rPr>
        <w:t xml:space="preserve">“Stockholm City’s Elderly Care and Covid-19”, forthcoming in </w:t>
      </w:r>
      <w:r w:rsidR="00C342A5" w:rsidRPr="00C342A5">
        <w:rPr>
          <w:rFonts w:ascii="Times New Roman" w:hAnsi="Times New Roman" w:cs="Times New Roman"/>
          <w:i/>
          <w:sz w:val="24"/>
          <w:szCs w:val="24"/>
        </w:rPr>
        <w:t>Society</w:t>
      </w:r>
      <w:r w:rsidR="00C342A5">
        <w:rPr>
          <w:rFonts w:ascii="Times New Roman" w:hAnsi="Times New Roman" w:cs="Times New Roman"/>
          <w:sz w:val="24"/>
          <w:szCs w:val="24"/>
        </w:rPr>
        <w:t xml:space="preserve">, </w:t>
      </w:r>
      <w:hyperlink r:id="rId48" w:history="1">
        <w:r w:rsidR="00C342A5" w:rsidRPr="00355CD2">
          <w:rPr>
            <w:rStyle w:val="Hyperlink"/>
            <w:rFonts w:ascii="Times New Roman" w:hAnsi="Times New Roman" w:cs="Times New Roman"/>
            <w:sz w:val="24"/>
            <w:szCs w:val="24"/>
          </w:rPr>
          <w:t>https://papers.ssrn.com/sol3/papers.cfm?abstract_id=3609493</w:t>
        </w:r>
      </w:hyperlink>
      <w:r w:rsidR="00C342A5">
        <w:rPr>
          <w:rFonts w:ascii="Times New Roman" w:hAnsi="Times New Roman" w:cs="Times New Roman"/>
          <w:sz w:val="24"/>
          <w:szCs w:val="24"/>
        </w:rPr>
        <w:t>.</w:t>
      </w:r>
      <w:proofErr w:type="gramEnd"/>
    </w:p>
    <w:p w:rsidR="00780D7B" w:rsidRDefault="00780D7B" w:rsidP="005C79D9">
      <w:pPr>
        <w:spacing w:after="0" w:line="240" w:lineRule="auto"/>
        <w:jc w:val="both"/>
        <w:rPr>
          <w:rFonts w:ascii="Times New Roman" w:hAnsi="Times New Roman" w:cs="Times New Roman"/>
          <w:sz w:val="24"/>
          <w:szCs w:val="24"/>
        </w:rPr>
      </w:pPr>
    </w:p>
    <w:p w:rsidR="009C58B2" w:rsidRPr="008F1446" w:rsidRDefault="00D05EAB" w:rsidP="005C79D9">
      <w:pPr>
        <w:spacing w:after="0" w:line="240" w:lineRule="auto"/>
        <w:jc w:val="both"/>
        <w:rPr>
          <w:rFonts w:ascii="Times New Roman" w:hAnsi="Times New Roman" w:cs="Times New Roman"/>
          <w:sz w:val="24"/>
          <w:szCs w:val="24"/>
        </w:rPr>
      </w:pPr>
      <w:r w:rsidRPr="008F1446">
        <w:rPr>
          <w:rFonts w:ascii="Times New Roman" w:hAnsi="Times New Roman" w:cs="Times New Roman"/>
          <w:sz w:val="24"/>
          <w:szCs w:val="24"/>
        </w:rPr>
        <w:t xml:space="preserve">Stone, L., 2020.  “Lockdowns Don’t Work”, </w:t>
      </w:r>
      <w:r w:rsidR="008F1446" w:rsidRPr="008F1446">
        <w:rPr>
          <w:rFonts w:ascii="Times New Roman" w:hAnsi="Times New Roman" w:cs="Times New Roman"/>
          <w:i/>
          <w:sz w:val="24"/>
          <w:szCs w:val="24"/>
        </w:rPr>
        <w:t>Public Discourse</w:t>
      </w:r>
      <w:r w:rsidR="008F1446" w:rsidRPr="008F1446">
        <w:rPr>
          <w:rFonts w:ascii="Times New Roman" w:hAnsi="Times New Roman" w:cs="Times New Roman"/>
          <w:sz w:val="24"/>
          <w:szCs w:val="24"/>
        </w:rPr>
        <w:t xml:space="preserve"> </w:t>
      </w:r>
      <w:hyperlink r:id="rId49" w:history="1">
        <w:r w:rsidR="008F1446" w:rsidRPr="008F1446">
          <w:rPr>
            <w:rStyle w:val="Hyperlink"/>
            <w:rFonts w:ascii="Times New Roman" w:hAnsi="Times New Roman" w:cs="Times New Roman"/>
            <w:sz w:val="24"/>
            <w:szCs w:val="24"/>
          </w:rPr>
          <w:t>https://www.thepublicdiscourse.com/2020/04/62572/</w:t>
        </w:r>
      </w:hyperlink>
      <w:r w:rsidR="008F1446" w:rsidRPr="008F1446">
        <w:rPr>
          <w:rFonts w:ascii="Times New Roman" w:hAnsi="Times New Roman" w:cs="Times New Roman"/>
          <w:sz w:val="24"/>
          <w:szCs w:val="24"/>
        </w:rPr>
        <w:t>.</w:t>
      </w:r>
    </w:p>
    <w:p w:rsidR="00742CA4" w:rsidRDefault="00742CA4" w:rsidP="005C79D9">
      <w:pPr>
        <w:spacing w:after="0" w:line="240" w:lineRule="auto"/>
        <w:jc w:val="both"/>
        <w:rPr>
          <w:rFonts w:ascii="Times New Roman" w:hAnsi="Times New Roman" w:cs="Times New Roman"/>
          <w:sz w:val="24"/>
          <w:szCs w:val="24"/>
        </w:rPr>
      </w:pPr>
    </w:p>
    <w:p w:rsidR="00DB7B7E" w:rsidRDefault="00DB7B7E" w:rsidP="005C79D9">
      <w:pPr>
        <w:spacing w:after="0" w:line="240" w:lineRule="auto"/>
        <w:jc w:val="both"/>
        <w:rPr>
          <w:rFonts w:ascii="Times New Roman" w:hAnsi="Times New Roman" w:cs="Times New Roman"/>
          <w:sz w:val="24"/>
          <w:szCs w:val="24"/>
        </w:rPr>
      </w:pPr>
      <w:proofErr w:type="gramStart"/>
      <w:r w:rsidRPr="00D90B26">
        <w:rPr>
          <w:rFonts w:ascii="Times New Roman" w:hAnsi="Times New Roman" w:cs="Times New Roman"/>
          <w:sz w:val="24"/>
          <w:szCs w:val="24"/>
        </w:rPr>
        <w:t>The Treasury</w:t>
      </w:r>
      <w:r w:rsidR="00D90B26" w:rsidRPr="00D90B26">
        <w:rPr>
          <w:rFonts w:ascii="Times New Roman" w:hAnsi="Times New Roman" w:cs="Times New Roman"/>
          <w:sz w:val="24"/>
          <w:szCs w:val="24"/>
        </w:rPr>
        <w:t>, 2019.</w:t>
      </w:r>
      <w:proofErr w:type="gramEnd"/>
      <w:r w:rsidR="00D90B26" w:rsidRPr="00D90B26">
        <w:rPr>
          <w:rFonts w:ascii="Times New Roman" w:hAnsi="Times New Roman" w:cs="Times New Roman"/>
          <w:sz w:val="24"/>
          <w:szCs w:val="24"/>
        </w:rPr>
        <w:t xml:space="preserve">  </w:t>
      </w:r>
      <w:proofErr w:type="gramStart"/>
      <w:r w:rsidR="00D90B26" w:rsidRPr="00D90B26">
        <w:rPr>
          <w:rFonts w:ascii="Times New Roman" w:hAnsi="Times New Roman" w:cs="Times New Roman"/>
          <w:i/>
          <w:sz w:val="24"/>
          <w:szCs w:val="24"/>
        </w:rPr>
        <w:t>Half-Year Economic and Fiscal Update 2019</w:t>
      </w:r>
      <w:r w:rsidR="00D90B26" w:rsidRPr="00D90B26">
        <w:rPr>
          <w:rFonts w:ascii="Times New Roman" w:hAnsi="Times New Roman" w:cs="Times New Roman"/>
          <w:sz w:val="24"/>
          <w:szCs w:val="24"/>
        </w:rPr>
        <w:t xml:space="preserve">, </w:t>
      </w:r>
      <w:hyperlink r:id="rId50" w:history="1">
        <w:r w:rsidR="00D90B26" w:rsidRPr="00D90B26">
          <w:rPr>
            <w:rStyle w:val="Hyperlink"/>
            <w:rFonts w:ascii="Times New Roman" w:hAnsi="Times New Roman" w:cs="Times New Roman"/>
            <w:sz w:val="24"/>
            <w:szCs w:val="24"/>
          </w:rPr>
          <w:t>https://treasury.govt.nz/system/files/2019-12/hyefu19.pdf</w:t>
        </w:r>
      </w:hyperlink>
      <w:r w:rsidR="00D90B26" w:rsidRPr="00D90B26">
        <w:rPr>
          <w:rFonts w:ascii="Times New Roman" w:hAnsi="Times New Roman" w:cs="Times New Roman"/>
          <w:sz w:val="24"/>
          <w:szCs w:val="24"/>
        </w:rPr>
        <w:t>.</w:t>
      </w:r>
      <w:proofErr w:type="gramEnd"/>
    </w:p>
    <w:p w:rsidR="0090474D" w:rsidRDefault="0090474D" w:rsidP="005C79D9">
      <w:pPr>
        <w:spacing w:after="0" w:line="240" w:lineRule="auto"/>
        <w:jc w:val="both"/>
        <w:rPr>
          <w:rFonts w:ascii="Times New Roman" w:hAnsi="Times New Roman" w:cs="Times New Roman"/>
          <w:sz w:val="24"/>
          <w:szCs w:val="24"/>
        </w:rPr>
      </w:pPr>
    </w:p>
    <w:p w:rsidR="0090474D" w:rsidRPr="0090474D" w:rsidRDefault="0090474D" w:rsidP="005C79D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_____________ 2020a.</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Covid-19 Information Release</w:t>
      </w:r>
      <w:r>
        <w:rPr>
          <w:rFonts w:ascii="Times New Roman" w:hAnsi="Times New Roman" w:cs="Times New Roman"/>
          <w:sz w:val="24"/>
          <w:szCs w:val="24"/>
        </w:rPr>
        <w:t xml:space="preserve"> </w:t>
      </w:r>
      <w:hyperlink r:id="rId51" w:history="1">
        <w:r w:rsidRPr="009F384A">
          <w:rPr>
            <w:rStyle w:val="Hyperlink"/>
            <w:rFonts w:ascii="Times New Roman" w:hAnsi="Times New Roman" w:cs="Times New Roman"/>
            <w:sz w:val="24"/>
            <w:szCs w:val="24"/>
          </w:rPr>
          <w:t>https://treasury.govt.nz/sites/default/files/2020-04/c19-4265378-t2020-973-economic-scenarios-v3.pdf</w:t>
        </w:r>
      </w:hyperlink>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90B26" w:rsidRPr="00D90B26" w:rsidRDefault="00D90B26" w:rsidP="005C79D9">
      <w:pPr>
        <w:spacing w:after="0" w:line="240" w:lineRule="auto"/>
        <w:jc w:val="both"/>
        <w:rPr>
          <w:rFonts w:ascii="Times New Roman" w:hAnsi="Times New Roman" w:cs="Times New Roman"/>
          <w:sz w:val="24"/>
          <w:szCs w:val="24"/>
        </w:rPr>
      </w:pPr>
    </w:p>
    <w:p w:rsidR="00D90B26" w:rsidRDefault="00D90B26" w:rsidP="005C79D9">
      <w:pPr>
        <w:spacing w:after="0" w:line="240" w:lineRule="auto"/>
        <w:jc w:val="both"/>
        <w:rPr>
          <w:rFonts w:ascii="Times New Roman" w:hAnsi="Times New Roman" w:cs="Times New Roman"/>
          <w:sz w:val="24"/>
          <w:szCs w:val="24"/>
        </w:rPr>
      </w:pP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r>
      <w:r w:rsidRPr="00D90B26">
        <w:rPr>
          <w:rFonts w:ascii="Times New Roman" w:hAnsi="Times New Roman" w:cs="Times New Roman"/>
          <w:sz w:val="24"/>
          <w:szCs w:val="24"/>
        </w:rPr>
        <w:softHyphen/>
        <w:t>____________</w:t>
      </w:r>
      <w:proofErr w:type="gramStart"/>
      <w:r w:rsidRPr="00D90B26">
        <w:rPr>
          <w:rFonts w:ascii="Times New Roman" w:hAnsi="Times New Roman" w:cs="Times New Roman"/>
          <w:sz w:val="24"/>
          <w:szCs w:val="24"/>
        </w:rPr>
        <w:t>_  2020</w:t>
      </w:r>
      <w:r w:rsidR="0090474D">
        <w:rPr>
          <w:rFonts w:ascii="Times New Roman" w:hAnsi="Times New Roman" w:cs="Times New Roman"/>
          <w:sz w:val="24"/>
          <w:szCs w:val="24"/>
        </w:rPr>
        <w:t>b</w:t>
      </w:r>
      <w:proofErr w:type="gramEnd"/>
      <w:r w:rsidRPr="00D90B26">
        <w:rPr>
          <w:rFonts w:ascii="Times New Roman" w:hAnsi="Times New Roman" w:cs="Times New Roman"/>
          <w:sz w:val="24"/>
          <w:szCs w:val="24"/>
        </w:rPr>
        <w:t xml:space="preserve">.  </w:t>
      </w:r>
      <w:proofErr w:type="gramStart"/>
      <w:r w:rsidRPr="00D90B26">
        <w:rPr>
          <w:rFonts w:ascii="Times New Roman" w:hAnsi="Times New Roman" w:cs="Times New Roman"/>
          <w:i/>
          <w:sz w:val="24"/>
          <w:szCs w:val="24"/>
        </w:rPr>
        <w:t>Budget Economic and Fiscal Update 2020</w:t>
      </w:r>
      <w:r w:rsidRPr="00D90B26">
        <w:rPr>
          <w:rFonts w:ascii="Times New Roman" w:hAnsi="Times New Roman" w:cs="Times New Roman"/>
          <w:sz w:val="24"/>
          <w:szCs w:val="24"/>
        </w:rPr>
        <w:t xml:space="preserve">, </w:t>
      </w:r>
      <w:hyperlink r:id="rId52" w:history="1">
        <w:r w:rsidRPr="00D90B26">
          <w:rPr>
            <w:rStyle w:val="Hyperlink"/>
            <w:rFonts w:ascii="Times New Roman" w:hAnsi="Times New Roman" w:cs="Times New Roman"/>
            <w:sz w:val="24"/>
            <w:szCs w:val="24"/>
          </w:rPr>
          <w:t>https://treasury.govt.nz/sites/default/files/2020-07/befu20-v2.pdf</w:t>
        </w:r>
      </w:hyperlink>
      <w:r w:rsidRPr="00D90B26">
        <w:rPr>
          <w:rFonts w:ascii="Times New Roman" w:hAnsi="Times New Roman" w:cs="Times New Roman"/>
          <w:sz w:val="24"/>
          <w:szCs w:val="24"/>
        </w:rPr>
        <w:t>.</w:t>
      </w:r>
      <w:proofErr w:type="gramEnd"/>
    </w:p>
    <w:p w:rsidR="00540234" w:rsidRDefault="00540234" w:rsidP="005C79D9">
      <w:pPr>
        <w:spacing w:after="0" w:line="240" w:lineRule="auto"/>
        <w:jc w:val="both"/>
        <w:rPr>
          <w:rFonts w:ascii="Times New Roman" w:hAnsi="Times New Roman" w:cs="Times New Roman"/>
          <w:sz w:val="24"/>
          <w:szCs w:val="24"/>
        </w:rPr>
      </w:pPr>
    </w:p>
    <w:p w:rsidR="00540234" w:rsidRPr="00540234" w:rsidRDefault="00540234" w:rsidP="005C79D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_____________ 2020c.</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Pre-election Economic and Fiscal Update 2020</w:t>
      </w:r>
      <w:r>
        <w:rPr>
          <w:rFonts w:ascii="Times New Roman" w:hAnsi="Times New Roman" w:cs="Times New Roman"/>
          <w:sz w:val="24"/>
          <w:szCs w:val="24"/>
        </w:rPr>
        <w:t xml:space="preserve">, </w:t>
      </w:r>
      <w:hyperlink r:id="rId53" w:history="1">
        <w:r w:rsidRPr="006676E8">
          <w:rPr>
            <w:rStyle w:val="Hyperlink"/>
            <w:rFonts w:ascii="Times New Roman" w:hAnsi="Times New Roman" w:cs="Times New Roman"/>
            <w:sz w:val="24"/>
            <w:szCs w:val="24"/>
          </w:rPr>
          <w:t>https://www.treasury.govt.nz/system/files/2020-09/prefu20.pdf</w:t>
        </w:r>
      </w:hyperlink>
      <w:r>
        <w:rPr>
          <w:rFonts w:ascii="Times New Roman" w:hAnsi="Times New Roman" w:cs="Times New Roman"/>
          <w:sz w:val="24"/>
          <w:szCs w:val="24"/>
        </w:rPr>
        <w:t>.</w:t>
      </w:r>
      <w:proofErr w:type="gramEnd"/>
    </w:p>
    <w:p w:rsidR="000D1F5B" w:rsidRDefault="000D1F5B" w:rsidP="005C79D9">
      <w:pPr>
        <w:spacing w:after="0" w:line="240" w:lineRule="auto"/>
        <w:jc w:val="both"/>
        <w:rPr>
          <w:rFonts w:ascii="Times New Roman" w:hAnsi="Times New Roman" w:cs="Times New Roman"/>
          <w:sz w:val="24"/>
          <w:szCs w:val="24"/>
        </w:rPr>
      </w:pPr>
    </w:p>
    <w:p w:rsidR="00471A42" w:rsidRDefault="000D1F5B" w:rsidP="005C79D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w:t>
      </w:r>
      <w:r w:rsidR="00DC251E">
        <w:rPr>
          <w:rFonts w:ascii="Times New Roman" w:hAnsi="Times New Roman" w:cs="Times New Roman"/>
          <w:sz w:val="24"/>
          <w:szCs w:val="24"/>
        </w:rPr>
        <w:t>hunstrom</w:t>
      </w:r>
      <w:proofErr w:type="spellEnd"/>
      <w:r w:rsidR="00DC251E">
        <w:rPr>
          <w:rFonts w:ascii="Times New Roman" w:hAnsi="Times New Roman" w:cs="Times New Roman"/>
          <w:sz w:val="24"/>
          <w:szCs w:val="24"/>
        </w:rPr>
        <w:t xml:space="preserve">, L., Newbold, S., </w:t>
      </w:r>
      <w:proofErr w:type="spellStart"/>
      <w:r w:rsidR="00DC251E">
        <w:rPr>
          <w:rFonts w:ascii="Times New Roman" w:hAnsi="Times New Roman" w:cs="Times New Roman"/>
          <w:sz w:val="24"/>
          <w:szCs w:val="24"/>
        </w:rPr>
        <w:t>Finnoff</w:t>
      </w:r>
      <w:proofErr w:type="spellEnd"/>
      <w:r w:rsidR="00DC251E">
        <w:rPr>
          <w:rFonts w:ascii="Times New Roman" w:hAnsi="Times New Roman" w:cs="Times New Roman"/>
          <w:sz w:val="24"/>
          <w:szCs w:val="24"/>
        </w:rPr>
        <w:t xml:space="preserve">, D., Ashworth, M., and </w:t>
      </w:r>
      <w:proofErr w:type="spellStart"/>
      <w:r w:rsidR="00DC251E">
        <w:rPr>
          <w:rFonts w:ascii="Times New Roman" w:hAnsi="Times New Roman" w:cs="Times New Roman"/>
          <w:sz w:val="24"/>
          <w:szCs w:val="24"/>
        </w:rPr>
        <w:t>Shogren</w:t>
      </w:r>
      <w:proofErr w:type="spellEnd"/>
      <w:r w:rsidR="00DC251E">
        <w:rPr>
          <w:rFonts w:ascii="Times New Roman" w:hAnsi="Times New Roman" w:cs="Times New Roman"/>
          <w:sz w:val="24"/>
          <w:szCs w:val="24"/>
        </w:rPr>
        <w:t xml:space="preserve">, J., 2020.  </w:t>
      </w:r>
      <w:proofErr w:type="gramStart"/>
      <w:r w:rsidR="00DC251E">
        <w:rPr>
          <w:rFonts w:ascii="Times New Roman" w:hAnsi="Times New Roman" w:cs="Times New Roman"/>
          <w:sz w:val="24"/>
          <w:szCs w:val="24"/>
        </w:rPr>
        <w:t xml:space="preserve">“The Benefits and Costs of Using Social Distancing to Flatten the Curve for Covid-19”, </w:t>
      </w:r>
      <w:r w:rsidR="00DC251E">
        <w:rPr>
          <w:rFonts w:ascii="Times New Roman" w:hAnsi="Times New Roman" w:cs="Times New Roman"/>
          <w:i/>
          <w:sz w:val="24"/>
          <w:szCs w:val="24"/>
        </w:rPr>
        <w:t>Journal of Benefit-Cost Analysis</w:t>
      </w:r>
      <w:r w:rsidR="00DC251E">
        <w:rPr>
          <w:rFonts w:ascii="Times New Roman" w:hAnsi="Times New Roman" w:cs="Times New Roman"/>
          <w:sz w:val="24"/>
          <w:szCs w:val="24"/>
        </w:rPr>
        <w:t xml:space="preserve">, </w:t>
      </w:r>
      <w:r w:rsidR="00636EFF">
        <w:rPr>
          <w:rFonts w:ascii="Times New Roman" w:hAnsi="Times New Roman" w:cs="Times New Roman"/>
          <w:sz w:val="24"/>
          <w:szCs w:val="24"/>
        </w:rPr>
        <w:t>vol. 11 (2), pp. 179-195.</w:t>
      </w:r>
      <w:proofErr w:type="gramEnd"/>
    </w:p>
    <w:p w:rsidR="00471A42" w:rsidRDefault="00471A42" w:rsidP="005C79D9">
      <w:pPr>
        <w:spacing w:after="0" w:line="240" w:lineRule="auto"/>
        <w:jc w:val="both"/>
        <w:rPr>
          <w:rFonts w:ascii="Times New Roman" w:hAnsi="Times New Roman" w:cs="Times New Roman"/>
          <w:sz w:val="24"/>
          <w:szCs w:val="24"/>
        </w:rPr>
      </w:pPr>
    </w:p>
    <w:p w:rsidR="00636EFF" w:rsidRPr="00DC251E" w:rsidRDefault="00636EFF" w:rsidP="005C7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Wilson, N., 2020.  </w:t>
      </w:r>
      <w:proofErr w:type="gramStart"/>
      <w:r w:rsidR="00365358">
        <w:rPr>
          <w:rFonts w:ascii="Times New Roman" w:hAnsi="Times New Roman" w:cs="Times New Roman"/>
          <w:sz w:val="24"/>
          <w:szCs w:val="24"/>
        </w:rPr>
        <w:t>“Potential Worst Case Health Impacts from the Covid-19 Pandemic for New Zealand if Eradication Fails”, report prepared for the New Zealand Ministry of H</w:t>
      </w:r>
      <w:r w:rsidR="00B710F6">
        <w:rPr>
          <w:rFonts w:ascii="Times New Roman" w:hAnsi="Times New Roman" w:cs="Times New Roman"/>
          <w:sz w:val="24"/>
          <w:szCs w:val="24"/>
        </w:rPr>
        <w:t>ealth</w:t>
      </w:r>
      <w:r w:rsidR="00365358">
        <w:rPr>
          <w:rFonts w:ascii="Times New Roman" w:hAnsi="Times New Roman" w:cs="Times New Roman"/>
          <w:sz w:val="24"/>
          <w:szCs w:val="24"/>
        </w:rPr>
        <w:t xml:space="preserve">, </w:t>
      </w:r>
      <w:hyperlink r:id="rId54" w:history="1">
        <w:r w:rsidR="00B710F6" w:rsidRPr="00C8391E">
          <w:rPr>
            <w:rStyle w:val="Hyperlink"/>
            <w:rFonts w:ascii="Times New Roman" w:hAnsi="Times New Roman" w:cs="Times New Roman"/>
            <w:sz w:val="24"/>
            <w:szCs w:val="24"/>
          </w:rPr>
          <w:t>https://www.health.govt.nz/system/files/documents/publications/report_for_chief_science_advisor_-_health_-_24_march_final.pdf</w:t>
        </w:r>
      </w:hyperlink>
      <w:r w:rsidR="00B710F6">
        <w:rPr>
          <w:rFonts w:ascii="Times New Roman" w:hAnsi="Times New Roman" w:cs="Times New Roman"/>
          <w:sz w:val="24"/>
          <w:szCs w:val="24"/>
        </w:rPr>
        <w:t>.</w:t>
      </w:r>
      <w:proofErr w:type="gramEnd"/>
    </w:p>
    <w:sectPr w:rsidR="00636EFF" w:rsidRPr="00DC251E">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F9" w:rsidRDefault="00033DF9" w:rsidP="003861A3">
      <w:pPr>
        <w:spacing w:after="0" w:line="240" w:lineRule="auto"/>
      </w:pPr>
      <w:r>
        <w:separator/>
      </w:r>
    </w:p>
  </w:endnote>
  <w:endnote w:type="continuationSeparator" w:id="0">
    <w:p w:rsidR="00033DF9" w:rsidRDefault="00033DF9" w:rsidP="0038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CC" w:rsidRDefault="00D52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583471"/>
      <w:docPartObj>
        <w:docPartGallery w:val="Page Numbers (Bottom of Page)"/>
        <w:docPartUnique/>
      </w:docPartObj>
    </w:sdtPr>
    <w:sdtEndPr>
      <w:rPr>
        <w:noProof/>
      </w:rPr>
    </w:sdtEndPr>
    <w:sdtContent>
      <w:p w:rsidR="00D520CC" w:rsidRDefault="00D520CC">
        <w:pPr>
          <w:pStyle w:val="Footer"/>
          <w:jc w:val="center"/>
        </w:pPr>
        <w:r>
          <w:fldChar w:fldCharType="begin"/>
        </w:r>
        <w:r>
          <w:instrText xml:space="preserve"> PAGE   \* MERGEFORMAT </w:instrText>
        </w:r>
        <w:r>
          <w:fldChar w:fldCharType="separate"/>
        </w:r>
        <w:r w:rsidR="00E57D19">
          <w:rPr>
            <w:noProof/>
          </w:rPr>
          <w:t>14</w:t>
        </w:r>
        <w:r>
          <w:rPr>
            <w:noProof/>
          </w:rPr>
          <w:fldChar w:fldCharType="end"/>
        </w:r>
      </w:p>
    </w:sdtContent>
  </w:sdt>
  <w:p w:rsidR="00D520CC" w:rsidRDefault="00D520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CC" w:rsidRDefault="00D52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F9" w:rsidRDefault="00033DF9" w:rsidP="003861A3">
      <w:pPr>
        <w:spacing w:after="0" w:line="240" w:lineRule="auto"/>
      </w:pPr>
      <w:r>
        <w:separator/>
      </w:r>
    </w:p>
  </w:footnote>
  <w:footnote w:type="continuationSeparator" w:id="0">
    <w:p w:rsidR="00033DF9" w:rsidRDefault="00033DF9" w:rsidP="003861A3">
      <w:pPr>
        <w:spacing w:after="0" w:line="240" w:lineRule="auto"/>
      </w:pPr>
      <w:r>
        <w:continuationSeparator/>
      </w:r>
    </w:p>
  </w:footnote>
  <w:footnote w:id="1">
    <w:p w:rsidR="00D520CC" w:rsidRPr="00A50799" w:rsidRDefault="00D520CC" w:rsidP="001C5E11">
      <w:pPr>
        <w:pStyle w:val="FootnoteText"/>
        <w:jc w:val="both"/>
        <w:rPr>
          <w:rFonts w:ascii="Times New Roman" w:hAnsi="Times New Roman" w:cs="Times New Roman"/>
        </w:rPr>
      </w:pPr>
      <w:r w:rsidRPr="00A50799">
        <w:rPr>
          <w:rStyle w:val="FootnoteReference"/>
          <w:rFonts w:ascii="Times New Roman" w:hAnsi="Times New Roman" w:cs="Times New Roman"/>
        </w:rPr>
        <w:footnoteRef/>
      </w:r>
      <w:r w:rsidRPr="00A50799">
        <w:rPr>
          <w:rFonts w:ascii="Times New Roman" w:hAnsi="Times New Roman" w:cs="Times New Roman"/>
        </w:rPr>
        <w:t xml:space="preserve"> It was </w:t>
      </w:r>
      <w:r>
        <w:rPr>
          <w:rFonts w:ascii="Times New Roman" w:hAnsi="Times New Roman" w:cs="Times New Roman"/>
        </w:rPr>
        <w:t xml:space="preserve">believed at </w:t>
      </w:r>
      <w:r w:rsidRPr="00A50799">
        <w:rPr>
          <w:rFonts w:ascii="Times New Roman" w:hAnsi="Times New Roman" w:cs="Times New Roman"/>
        </w:rPr>
        <w:t xml:space="preserve">this time that most of the victims were old </w:t>
      </w:r>
      <w:r>
        <w:rPr>
          <w:rFonts w:ascii="Times New Roman" w:hAnsi="Times New Roman" w:cs="Times New Roman"/>
        </w:rPr>
        <w:t>and/</w:t>
      </w:r>
      <w:r w:rsidRPr="00A50799">
        <w:rPr>
          <w:rFonts w:ascii="Times New Roman" w:hAnsi="Times New Roman" w:cs="Times New Roman"/>
        </w:rPr>
        <w:t>or suffering from co-morbidities</w:t>
      </w:r>
      <w:r>
        <w:rPr>
          <w:rFonts w:ascii="Times New Roman" w:hAnsi="Times New Roman" w:cs="Times New Roman"/>
        </w:rPr>
        <w:t xml:space="preserve"> (see Blakely et al, 2020)</w:t>
      </w:r>
      <w:r w:rsidRPr="00A50799">
        <w:rPr>
          <w:rFonts w:ascii="Times New Roman" w:hAnsi="Times New Roman" w:cs="Times New Roman"/>
        </w:rPr>
        <w:t>.  The more precise data that subsequently became available confirmed this.  In respect of those dying in New York City up to May 13, 96% were at least 45, and 74% at least 65.  Furthermore, in those cases where the existing medical condition of the patient was known (no underlying condition or at lea</w:t>
      </w:r>
      <w:r>
        <w:rPr>
          <w:rFonts w:ascii="Times New Roman" w:hAnsi="Times New Roman" w:cs="Times New Roman"/>
        </w:rPr>
        <w:t>st one underlying condition), 98%</w:t>
      </w:r>
      <w:r w:rsidRPr="00A50799">
        <w:rPr>
          <w:rFonts w:ascii="Times New Roman" w:hAnsi="Times New Roman" w:cs="Times New Roman"/>
        </w:rPr>
        <w:t xml:space="preserve"> had at least one underlying condition</w:t>
      </w:r>
      <w:r>
        <w:rPr>
          <w:rFonts w:ascii="Times New Roman" w:hAnsi="Times New Roman" w:cs="Times New Roman"/>
        </w:rPr>
        <w:t xml:space="preserve"> (the set of conditions includes diabetes, cancer, heart disease, lung disease, and hypertension)</w:t>
      </w:r>
      <w:r w:rsidRPr="00A50799">
        <w:rPr>
          <w:rFonts w:ascii="Times New Roman" w:hAnsi="Times New Roman" w:cs="Times New Roman"/>
        </w:rPr>
        <w:t xml:space="preserve">.    See </w:t>
      </w:r>
      <w:hyperlink r:id="rId1" w:history="1">
        <w:r w:rsidRPr="00A50799">
          <w:rPr>
            <w:rStyle w:val="Hyperlink"/>
            <w:rFonts w:ascii="Times New Roman" w:hAnsi="Times New Roman" w:cs="Times New Roman"/>
          </w:rPr>
          <w:t>https://www.worldometers.info/coronavirus/coronavirus-age-sex-demographics/</w:t>
        </w:r>
      </w:hyperlink>
      <w:r w:rsidRPr="00A50799">
        <w:rPr>
          <w:rFonts w:ascii="Times New Roman" w:hAnsi="Times New Roman" w:cs="Times New Roman"/>
        </w:rPr>
        <w:t xml:space="preserve">.  </w:t>
      </w:r>
    </w:p>
    <w:p w:rsidR="00D520CC" w:rsidRPr="00310309" w:rsidRDefault="00D520CC" w:rsidP="001C5E11">
      <w:pPr>
        <w:pStyle w:val="FootnoteText"/>
        <w:jc w:val="both"/>
        <w:rPr>
          <w:rFonts w:ascii="Times New Roman" w:hAnsi="Times New Roman" w:cs="Times New Roman"/>
          <w:lang w:val="en-US"/>
        </w:rPr>
      </w:pPr>
    </w:p>
  </w:footnote>
  <w:footnote w:id="2">
    <w:p w:rsidR="00D520CC" w:rsidRPr="009F1B39" w:rsidRDefault="00D520CC" w:rsidP="009F1B39">
      <w:pPr>
        <w:pStyle w:val="FootnoteText"/>
        <w:jc w:val="both"/>
        <w:rPr>
          <w:rFonts w:ascii="Times New Roman" w:hAnsi="Times New Roman" w:cs="Times New Roman"/>
          <w:lang w:val="en-US"/>
        </w:rPr>
      </w:pPr>
      <w:r w:rsidRPr="009F1B39">
        <w:rPr>
          <w:rStyle w:val="FootnoteReference"/>
          <w:rFonts w:ascii="Times New Roman" w:hAnsi="Times New Roman" w:cs="Times New Roman"/>
        </w:rPr>
        <w:footnoteRef/>
      </w:r>
      <w:r w:rsidRPr="009F1B39">
        <w:rPr>
          <w:rFonts w:ascii="Times New Roman" w:hAnsi="Times New Roman" w:cs="Times New Roman"/>
        </w:rPr>
        <w:t xml:space="preserve"> </w:t>
      </w:r>
      <w:r w:rsidRPr="009F1B39">
        <w:rPr>
          <w:rFonts w:ascii="Times New Roman" w:hAnsi="Times New Roman" w:cs="Times New Roman"/>
          <w:lang w:val="en-US"/>
        </w:rPr>
        <w:t xml:space="preserve">Blakely et al (2020) do not indicate whether mitigation also </w:t>
      </w:r>
      <w:r>
        <w:rPr>
          <w:rFonts w:ascii="Times New Roman" w:hAnsi="Times New Roman" w:cs="Times New Roman"/>
          <w:lang w:val="en-US"/>
        </w:rPr>
        <w:t xml:space="preserve">includes case </w:t>
      </w:r>
      <w:r w:rsidRPr="009F1B39">
        <w:rPr>
          <w:rFonts w:ascii="Times New Roman" w:hAnsi="Times New Roman" w:cs="Times New Roman"/>
          <w:lang w:val="en-US"/>
        </w:rPr>
        <w:t xml:space="preserve">isolation and quarantining of members of their households, </w:t>
      </w:r>
      <w:r>
        <w:rPr>
          <w:rFonts w:ascii="Times New Roman" w:hAnsi="Times New Roman" w:cs="Times New Roman"/>
          <w:lang w:val="en-US"/>
        </w:rPr>
        <w:t xml:space="preserve">as with Ferguson et al, </w:t>
      </w:r>
      <w:r w:rsidRPr="009F1B39">
        <w:rPr>
          <w:rFonts w:ascii="Times New Roman" w:hAnsi="Times New Roman" w:cs="Times New Roman"/>
          <w:lang w:val="en-US"/>
        </w:rPr>
        <w:t>but I presume this is intended.</w:t>
      </w:r>
    </w:p>
    <w:p w:rsidR="00D520CC" w:rsidRPr="009F1B39" w:rsidRDefault="00D520CC">
      <w:pPr>
        <w:pStyle w:val="FootnoteText"/>
        <w:rPr>
          <w:lang w:val="en-US"/>
        </w:rPr>
      </w:pPr>
    </w:p>
  </w:footnote>
  <w:footnote w:id="3">
    <w:p w:rsidR="00D520CC" w:rsidRDefault="00D520CC" w:rsidP="00636EFF">
      <w:pPr>
        <w:pStyle w:val="FootnoteText"/>
        <w:jc w:val="both"/>
        <w:rPr>
          <w:rFonts w:ascii="Times New Roman" w:hAnsi="Times New Roman" w:cs="Times New Roman"/>
          <w:lang w:val="en-US"/>
        </w:rPr>
      </w:pPr>
      <w:r w:rsidRPr="00636EFF">
        <w:rPr>
          <w:rStyle w:val="FootnoteReference"/>
          <w:rFonts w:ascii="Times New Roman" w:hAnsi="Times New Roman" w:cs="Times New Roman"/>
        </w:rPr>
        <w:footnoteRef/>
      </w:r>
      <w:r w:rsidRPr="00636EFF">
        <w:rPr>
          <w:rFonts w:ascii="Times New Roman" w:hAnsi="Times New Roman" w:cs="Times New Roman"/>
        </w:rPr>
        <w:t xml:space="preserve"> </w:t>
      </w:r>
      <w:r w:rsidRPr="00636EFF">
        <w:rPr>
          <w:rFonts w:ascii="Times New Roman" w:hAnsi="Times New Roman" w:cs="Times New Roman"/>
          <w:lang w:val="en-US"/>
        </w:rPr>
        <w:t xml:space="preserve">One of the authors </w:t>
      </w:r>
      <w:r>
        <w:rPr>
          <w:rFonts w:ascii="Times New Roman" w:hAnsi="Times New Roman" w:cs="Times New Roman"/>
          <w:lang w:val="en-US"/>
        </w:rPr>
        <w:t xml:space="preserve">(Wilson, 2020) </w:t>
      </w:r>
      <w:r w:rsidRPr="00636EFF">
        <w:rPr>
          <w:rFonts w:ascii="Times New Roman" w:hAnsi="Times New Roman" w:cs="Times New Roman"/>
          <w:lang w:val="en-US"/>
        </w:rPr>
        <w:t xml:space="preserve">also provided advice to the Ministry of Health shortly </w:t>
      </w:r>
      <w:r>
        <w:rPr>
          <w:rFonts w:ascii="Times New Roman" w:hAnsi="Times New Roman" w:cs="Times New Roman"/>
          <w:lang w:val="en-US"/>
        </w:rPr>
        <w:t>afterwards on the worst-case scenario, which was similar to that in Blakely et al (2020).</w:t>
      </w:r>
    </w:p>
    <w:p w:rsidR="00D520CC" w:rsidRPr="00636EFF" w:rsidRDefault="00D520CC" w:rsidP="00636EFF">
      <w:pPr>
        <w:pStyle w:val="FootnoteText"/>
        <w:jc w:val="both"/>
        <w:rPr>
          <w:rFonts w:ascii="Times New Roman" w:hAnsi="Times New Roman" w:cs="Times New Roman"/>
          <w:lang w:val="en-US"/>
        </w:rPr>
      </w:pPr>
    </w:p>
  </w:footnote>
  <w:footnote w:id="4">
    <w:p w:rsidR="00D520CC" w:rsidRPr="000057D9" w:rsidRDefault="00D520CC" w:rsidP="000057D9">
      <w:pPr>
        <w:pStyle w:val="FootnoteText"/>
        <w:jc w:val="both"/>
        <w:rPr>
          <w:rFonts w:ascii="Times New Roman" w:hAnsi="Times New Roman" w:cs="Times New Roman"/>
          <w:lang w:val="en-US"/>
        </w:rPr>
      </w:pPr>
      <w:r w:rsidRPr="000057D9">
        <w:rPr>
          <w:rStyle w:val="FootnoteReference"/>
          <w:rFonts w:ascii="Times New Roman" w:hAnsi="Times New Roman" w:cs="Times New Roman"/>
        </w:rPr>
        <w:footnoteRef/>
      </w:r>
      <w:r w:rsidRPr="000057D9">
        <w:rPr>
          <w:rFonts w:ascii="Times New Roman" w:hAnsi="Times New Roman" w:cs="Times New Roman"/>
        </w:rPr>
        <w:t xml:space="preserve"> </w:t>
      </w:r>
      <w:r w:rsidRPr="000057D9">
        <w:rPr>
          <w:rFonts w:ascii="Times New Roman" w:hAnsi="Times New Roman" w:cs="Times New Roman"/>
          <w:lang w:val="en-US"/>
        </w:rPr>
        <w:t>This figure is the product of three expectations, and should be the expectation of the product, and the latter would be larger because the three variables are positively correlated.  Estimating the increase would be difficult, but not very important here because the focus here will be on the extreme QALY values.</w:t>
      </w:r>
    </w:p>
  </w:footnote>
  <w:footnote w:id="5">
    <w:p w:rsidR="00D520CC" w:rsidRPr="007E3264" w:rsidRDefault="00D520CC" w:rsidP="006B3F43">
      <w:pPr>
        <w:pStyle w:val="FootnoteText"/>
        <w:rPr>
          <w:rFonts w:ascii="Times New Roman" w:hAnsi="Times New Roman" w:cs="Times New Roman"/>
          <w:lang w:val="en-US"/>
        </w:rPr>
      </w:pPr>
      <w:r w:rsidRPr="007E3264">
        <w:rPr>
          <w:rStyle w:val="FootnoteReference"/>
          <w:rFonts w:ascii="Times New Roman" w:hAnsi="Times New Roman" w:cs="Times New Roman"/>
        </w:rPr>
        <w:footnoteRef/>
      </w:r>
      <w:r w:rsidRPr="007E3264">
        <w:rPr>
          <w:rFonts w:ascii="Times New Roman" w:hAnsi="Times New Roman" w:cs="Times New Roman"/>
        </w:rPr>
        <w:t xml:space="preserve"> </w:t>
      </w:r>
      <w:r>
        <w:rPr>
          <w:rFonts w:ascii="Times New Roman" w:hAnsi="Times New Roman" w:cs="Times New Roman"/>
        </w:rPr>
        <w:t xml:space="preserve">The GDP figure comes from </w:t>
      </w:r>
      <w:r w:rsidRPr="007E3264">
        <w:rPr>
          <w:rFonts w:ascii="Times New Roman" w:hAnsi="Times New Roman" w:cs="Times New Roman"/>
          <w:lang w:val="en-US"/>
        </w:rPr>
        <w:t>Table M5 on the website of the RBNZ (</w:t>
      </w:r>
      <w:hyperlink r:id="rId2" w:history="1">
        <w:r w:rsidRPr="007E3264">
          <w:rPr>
            <w:rStyle w:val="Hyperlink"/>
            <w:rFonts w:ascii="Times New Roman" w:hAnsi="Times New Roman" w:cs="Times New Roman"/>
            <w:lang w:val="en-US"/>
          </w:rPr>
          <w:t>www.rbnz.govt.nz</w:t>
        </w:r>
      </w:hyperlink>
      <w:r w:rsidRPr="007E3264">
        <w:rPr>
          <w:rFonts w:ascii="Times New Roman" w:hAnsi="Times New Roman" w:cs="Times New Roman"/>
          <w:lang w:val="en-US"/>
        </w:rPr>
        <w:t>).</w:t>
      </w:r>
    </w:p>
    <w:p w:rsidR="00D520CC" w:rsidRPr="007E3264" w:rsidRDefault="00D520CC" w:rsidP="006B3F43">
      <w:pPr>
        <w:pStyle w:val="FootnoteText"/>
        <w:rPr>
          <w:lang w:val="en-US"/>
        </w:rPr>
      </w:pPr>
    </w:p>
  </w:footnote>
  <w:footnote w:id="6">
    <w:p w:rsidR="00D520CC" w:rsidRPr="004609FF" w:rsidRDefault="00D520CC" w:rsidP="001A0C5B">
      <w:pPr>
        <w:pStyle w:val="FootnoteText"/>
        <w:rPr>
          <w:rFonts w:ascii="Times New Roman" w:hAnsi="Times New Roman" w:cs="Times New Roman"/>
          <w:lang w:val="en-US"/>
        </w:rPr>
      </w:pPr>
      <w:r w:rsidRPr="004609FF">
        <w:rPr>
          <w:rStyle w:val="FootnoteReference"/>
          <w:rFonts w:ascii="Times New Roman" w:hAnsi="Times New Roman" w:cs="Times New Roman"/>
        </w:rPr>
        <w:footnoteRef/>
      </w:r>
      <w:r w:rsidRPr="004609FF">
        <w:rPr>
          <w:rFonts w:ascii="Times New Roman" w:hAnsi="Times New Roman" w:cs="Times New Roman"/>
        </w:rPr>
        <w:t xml:space="preserve"> </w:t>
      </w:r>
      <w:r w:rsidRPr="004609FF">
        <w:rPr>
          <w:rFonts w:ascii="Times New Roman" w:hAnsi="Times New Roman" w:cs="Times New Roman"/>
          <w:lang w:val="en-US"/>
        </w:rPr>
        <w:t xml:space="preserve">See Table B2 on the website of the RBNZ: </w:t>
      </w:r>
      <w:hyperlink r:id="rId3" w:history="1">
        <w:r w:rsidRPr="004609FF">
          <w:rPr>
            <w:rStyle w:val="Hyperlink"/>
            <w:rFonts w:ascii="Times New Roman" w:hAnsi="Times New Roman" w:cs="Times New Roman"/>
            <w:lang w:val="en-US"/>
          </w:rPr>
          <w:t>www.rbnz.govt.nz</w:t>
        </w:r>
      </w:hyperlink>
      <w:r w:rsidRPr="004609FF">
        <w:rPr>
          <w:rFonts w:ascii="Times New Roman" w:hAnsi="Times New Roman" w:cs="Times New Roman"/>
          <w:lang w:val="en-US"/>
        </w:rPr>
        <w:t>.</w:t>
      </w:r>
    </w:p>
    <w:p w:rsidR="00D520CC" w:rsidRPr="004609FF" w:rsidRDefault="00D520CC" w:rsidP="001A0C5B">
      <w:pPr>
        <w:pStyle w:val="FootnoteText"/>
        <w:rPr>
          <w:lang w:val="en-US"/>
        </w:rPr>
      </w:pPr>
    </w:p>
  </w:footnote>
  <w:footnote w:id="7">
    <w:p w:rsidR="00D520CC" w:rsidRPr="00556C45" w:rsidRDefault="00D520CC" w:rsidP="00556C45">
      <w:pPr>
        <w:pStyle w:val="FootnoteText"/>
        <w:jc w:val="both"/>
        <w:rPr>
          <w:rFonts w:ascii="Times New Roman" w:hAnsi="Times New Roman" w:cs="Times New Roman"/>
          <w:lang w:val="en-US"/>
        </w:rPr>
      </w:pPr>
      <w:r w:rsidRPr="00556C45">
        <w:rPr>
          <w:rStyle w:val="FootnoteReference"/>
          <w:rFonts w:ascii="Times New Roman" w:hAnsi="Times New Roman" w:cs="Times New Roman"/>
        </w:rPr>
        <w:footnoteRef/>
      </w:r>
      <w:r w:rsidRPr="00556C45">
        <w:rPr>
          <w:rFonts w:ascii="Times New Roman" w:hAnsi="Times New Roman" w:cs="Times New Roman"/>
        </w:rPr>
        <w:t xml:space="preserve"> </w:t>
      </w:r>
      <w:r>
        <w:rPr>
          <w:rFonts w:ascii="Times New Roman" w:hAnsi="Times New Roman" w:cs="Times New Roman"/>
        </w:rPr>
        <w:t xml:space="preserve">This figure is used by The Treasury in its CBAx2020 model: see </w:t>
      </w:r>
      <w:hyperlink r:id="rId4" w:history="1">
        <w:r w:rsidRPr="00556C45">
          <w:rPr>
            <w:rStyle w:val="Hyperlink"/>
            <w:rFonts w:ascii="Times New Roman" w:hAnsi="Times New Roman" w:cs="Times New Roman"/>
            <w:lang w:val="en-US"/>
          </w:rPr>
          <w:t>https://www.treasury.govt.nz/publications/guide/cbax-spreadsheet-model-0</w:t>
        </w:r>
      </w:hyperlink>
      <w:r w:rsidRPr="00556C45">
        <w:rPr>
          <w:rFonts w:ascii="Times New Roman" w:hAnsi="Times New Roman" w:cs="Times New Roman"/>
          <w:lang w:val="en-US"/>
        </w:rPr>
        <w:t xml:space="preserve">, tab “Impacts Database”, </w:t>
      </w:r>
      <w:proofErr w:type="gramStart"/>
      <w:r w:rsidRPr="00556C45">
        <w:rPr>
          <w:rFonts w:ascii="Times New Roman" w:hAnsi="Times New Roman" w:cs="Times New Roman"/>
          <w:lang w:val="en-US"/>
        </w:rPr>
        <w:t>cell</w:t>
      </w:r>
      <w:proofErr w:type="gramEnd"/>
      <w:r w:rsidRPr="00556C45">
        <w:rPr>
          <w:rFonts w:ascii="Times New Roman" w:hAnsi="Times New Roman" w:cs="Times New Roman"/>
          <w:lang w:val="en-US"/>
        </w:rPr>
        <w:t xml:space="preserve"> D135.</w:t>
      </w:r>
    </w:p>
    <w:p w:rsidR="00D520CC" w:rsidRPr="00556C45" w:rsidRDefault="00D520CC">
      <w:pPr>
        <w:pStyle w:val="FootnoteText"/>
        <w:rPr>
          <w:lang w:val="en-US"/>
        </w:rPr>
      </w:pPr>
    </w:p>
  </w:footnote>
  <w:footnote w:id="8">
    <w:p w:rsidR="00D520CC" w:rsidRDefault="00D520CC" w:rsidP="00F53D22">
      <w:pPr>
        <w:pStyle w:val="FootnoteText"/>
        <w:jc w:val="both"/>
        <w:rPr>
          <w:rFonts w:ascii="Times New Roman" w:hAnsi="Times New Roman" w:cs="Times New Roman"/>
        </w:rPr>
      </w:pPr>
      <w:r w:rsidRPr="009F628B">
        <w:rPr>
          <w:rStyle w:val="FootnoteReference"/>
          <w:rFonts w:ascii="Times New Roman" w:hAnsi="Times New Roman" w:cs="Times New Roman"/>
        </w:rPr>
        <w:footnoteRef/>
      </w:r>
      <w:r w:rsidRPr="009F628B">
        <w:rPr>
          <w:rFonts w:ascii="Times New Roman" w:hAnsi="Times New Roman" w:cs="Times New Roman"/>
        </w:rPr>
        <w:t xml:space="preserve"> </w:t>
      </w:r>
      <w:r>
        <w:rPr>
          <w:rFonts w:ascii="Times New Roman" w:hAnsi="Times New Roman" w:cs="Times New Roman"/>
        </w:rPr>
        <w:t xml:space="preserve">Miles et al (2020, page 68) reports a guideline figure of 30,000 pounds used in hospitals in the UK (which is close to its 2019 GDP per capita of 32,000 pounds) and the larger figure of $125,000 in the US (ibid, page 72), which is approximately double its 2019 GDP per capita of $65,000.  </w:t>
      </w:r>
    </w:p>
    <w:p w:rsidR="00D520CC" w:rsidRPr="009F628B" w:rsidRDefault="00D520CC" w:rsidP="00F53D22">
      <w:pPr>
        <w:pStyle w:val="FootnoteText"/>
        <w:jc w:val="both"/>
        <w:rPr>
          <w:rFonts w:ascii="Times New Roman" w:hAnsi="Times New Roman" w:cs="Times New Roman"/>
          <w:lang w:val="en-US"/>
        </w:rPr>
      </w:pPr>
    </w:p>
  </w:footnote>
  <w:footnote w:id="9">
    <w:p w:rsidR="00D520CC" w:rsidRDefault="00D520CC">
      <w:pPr>
        <w:pStyle w:val="FootnoteText"/>
        <w:rPr>
          <w:rFonts w:ascii="Times New Roman" w:hAnsi="Times New Roman" w:cs="Times New Roman"/>
          <w:lang w:val="en-US"/>
        </w:rPr>
      </w:pPr>
      <w:r w:rsidRPr="00DF64A3">
        <w:rPr>
          <w:rStyle w:val="FootnoteReference"/>
          <w:rFonts w:ascii="Times New Roman" w:hAnsi="Times New Roman" w:cs="Times New Roman"/>
        </w:rPr>
        <w:footnoteRef/>
      </w:r>
      <w:r w:rsidRPr="00DF64A3">
        <w:rPr>
          <w:rFonts w:ascii="Times New Roman" w:hAnsi="Times New Roman" w:cs="Times New Roman"/>
        </w:rPr>
        <w:t xml:space="preserve"> </w:t>
      </w:r>
      <w:r w:rsidRPr="00DF64A3">
        <w:rPr>
          <w:rFonts w:ascii="Times New Roman" w:hAnsi="Times New Roman" w:cs="Times New Roman"/>
          <w:lang w:val="en-US"/>
        </w:rPr>
        <w:t xml:space="preserve">See </w:t>
      </w:r>
      <w:hyperlink r:id="rId5" w:history="1">
        <w:r w:rsidRPr="00DF64A3">
          <w:rPr>
            <w:rStyle w:val="Hyperlink"/>
            <w:rFonts w:ascii="Times New Roman" w:hAnsi="Times New Roman" w:cs="Times New Roman"/>
            <w:lang w:val="en-US"/>
          </w:rPr>
          <w:t>https://www.transport.govt.nz/mot-resources/road-safety-resources/road-deaths/</w:t>
        </w:r>
      </w:hyperlink>
      <w:r w:rsidRPr="00DF64A3">
        <w:rPr>
          <w:rFonts w:ascii="Times New Roman" w:hAnsi="Times New Roman" w:cs="Times New Roman"/>
          <w:lang w:val="en-US"/>
        </w:rPr>
        <w:t>, for 2020 to</w:t>
      </w:r>
      <w:r>
        <w:rPr>
          <w:rFonts w:ascii="Times New Roman" w:hAnsi="Times New Roman" w:cs="Times New Roman"/>
          <w:lang w:val="en-US"/>
        </w:rPr>
        <w:t xml:space="preserve"> date.</w:t>
      </w:r>
    </w:p>
    <w:p w:rsidR="00D520CC" w:rsidRPr="00DF64A3" w:rsidRDefault="00D520CC">
      <w:pPr>
        <w:pStyle w:val="FootnoteText"/>
        <w:rPr>
          <w:rFonts w:ascii="Times New Roman" w:hAnsi="Times New Roman" w:cs="Times New Roman"/>
          <w:lang w:val="en-US"/>
        </w:rPr>
      </w:pPr>
    </w:p>
  </w:footnote>
  <w:footnote w:id="10">
    <w:p w:rsidR="00D520CC" w:rsidRDefault="00D520CC">
      <w:pPr>
        <w:pStyle w:val="FootnoteText"/>
        <w:rPr>
          <w:rFonts w:ascii="Times New Roman" w:hAnsi="Times New Roman" w:cs="Times New Roman"/>
          <w:lang w:val="en-US"/>
        </w:rPr>
      </w:pPr>
      <w:r w:rsidRPr="00B12B73">
        <w:rPr>
          <w:rStyle w:val="FootnoteReference"/>
          <w:rFonts w:ascii="Times New Roman" w:hAnsi="Times New Roman" w:cs="Times New Roman"/>
        </w:rPr>
        <w:footnoteRef/>
      </w:r>
      <w:r w:rsidRPr="00B12B73">
        <w:rPr>
          <w:rFonts w:ascii="Times New Roman" w:hAnsi="Times New Roman" w:cs="Times New Roman"/>
        </w:rPr>
        <w:t xml:space="preserve"> </w:t>
      </w:r>
      <w:r w:rsidRPr="00B12B73">
        <w:rPr>
          <w:rFonts w:ascii="Times New Roman" w:hAnsi="Times New Roman" w:cs="Times New Roman"/>
          <w:lang w:val="en-US"/>
        </w:rPr>
        <w:t>See Tables 5 and 6 of the NZ Periodic Life T</w:t>
      </w:r>
      <w:r>
        <w:rPr>
          <w:rFonts w:ascii="Times New Roman" w:hAnsi="Times New Roman" w:cs="Times New Roman"/>
          <w:lang w:val="en-US"/>
        </w:rPr>
        <w:t xml:space="preserve">ables: </w:t>
      </w:r>
      <w:hyperlink r:id="rId6" w:anchor="gsc.tab=0" w:history="1">
        <w:r w:rsidRPr="00B12B73">
          <w:rPr>
            <w:rStyle w:val="Hyperlink"/>
            <w:rFonts w:ascii="Times New Roman" w:hAnsi="Times New Roman" w:cs="Times New Roman"/>
            <w:lang w:val="en-US"/>
          </w:rPr>
          <w:t>http://archive.stats.govt.nz/browse_for_stats/health/life_expectancy/NZLifeTables_HOTP12-14.aspx#gsc.tab=0</w:t>
        </w:r>
      </w:hyperlink>
      <w:r>
        <w:rPr>
          <w:rFonts w:ascii="Times New Roman" w:hAnsi="Times New Roman" w:cs="Times New Roman"/>
          <w:lang w:val="en-US"/>
        </w:rPr>
        <w:t>.</w:t>
      </w:r>
    </w:p>
    <w:p w:rsidR="00D520CC" w:rsidRPr="00B12B73" w:rsidRDefault="00D520CC">
      <w:pPr>
        <w:pStyle w:val="FootnoteText"/>
        <w:rPr>
          <w:rFonts w:ascii="Times New Roman" w:hAnsi="Times New Roman" w:cs="Times New Roman"/>
          <w:lang w:val="en-US"/>
        </w:rPr>
      </w:pPr>
    </w:p>
  </w:footnote>
  <w:footnote w:id="11">
    <w:p w:rsidR="000B42F8" w:rsidRPr="000B42F8" w:rsidRDefault="000B42F8" w:rsidP="000B42F8">
      <w:pPr>
        <w:pStyle w:val="FootnoteText"/>
        <w:jc w:val="both"/>
        <w:rPr>
          <w:rFonts w:ascii="Times New Roman" w:hAnsi="Times New Roman" w:cs="Times New Roman"/>
          <w:lang w:val="en-US"/>
        </w:rPr>
      </w:pPr>
      <w:r w:rsidRPr="000B42F8">
        <w:rPr>
          <w:rStyle w:val="FootnoteReference"/>
          <w:rFonts w:ascii="Times New Roman" w:hAnsi="Times New Roman" w:cs="Times New Roman"/>
        </w:rPr>
        <w:footnoteRef/>
      </w:r>
      <w:r w:rsidRPr="000B42F8">
        <w:rPr>
          <w:rFonts w:ascii="Times New Roman" w:hAnsi="Times New Roman" w:cs="Times New Roman"/>
        </w:rPr>
        <w:t xml:space="preserve"> </w:t>
      </w:r>
      <w:r w:rsidRPr="000B42F8">
        <w:rPr>
          <w:rFonts w:ascii="Times New Roman" w:hAnsi="Times New Roman" w:cs="Times New Roman"/>
          <w:lang w:val="en-US"/>
        </w:rPr>
        <w:t xml:space="preserve">Davies and Grimes (2020) also </w:t>
      </w:r>
      <w:proofErr w:type="spellStart"/>
      <w:r w:rsidRPr="000B42F8">
        <w:rPr>
          <w:rFonts w:ascii="Times New Roman" w:hAnsi="Times New Roman" w:cs="Times New Roman"/>
          <w:lang w:val="en-US"/>
        </w:rPr>
        <w:t>analyse</w:t>
      </w:r>
      <w:proofErr w:type="spellEnd"/>
      <w:r w:rsidRPr="000B42F8">
        <w:rPr>
          <w:rFonts w:ascii="Times New Roman" w:hAnsi="Times New Roman" w:cs="Times New Roman"/>
          <w:lang w:val="en-US"/>
        </w:rPr>
        <w:t xml:space="preserve"> this scenario, but their analysis is generic rather than specific to the situation prevailing in March 2020.</w:t>
      </w:r>
    </w:p>
  </w:footnote>
  <w:footnote w:id="12">
    <w:p w:rsidR="00D520CC" w:rsidRPr="00CD3970" w:rsidRDefault="00D520CC" w:rsidP="00CD3970">
      <w:pPr>
        <w:pStyle w:val="FootnoteText"/>
        <w:jc w:val="both"/>
        <w:rPr>
          <w:rFonts w:ascii="Times New Roman" w:hAnsi="Times New Roman" w:cs="Times New Roman"/>
          <w:lang w:val="en-US"/>
        </w:rPr>
      </w:pPr>
      <w:r w:rsidRPr="00CD3970">
        <w:rPr>
          <w:rStyle w:val="FootnoteReference"/>
          <w:rFonts w:ascii="Times New Roman" w:hAnsi="Times New Roman" w:cs="Times New Roman"/>
        </w:rPr>
        <w:footnoteRef/>
      </w:r>
      <w:r w:rsidRPr="00CD3970">
        <w:rPr>
          <w:rFonts w:ascii="Times New Roman" w:hAnsi="Times New Roman" w:cs="Times New Roman"/>
        </w:rPr>
        <w:t xml:space="preserve"> </w:t>
      </w:r>
      <w:r>
        <w:rPr>
          <w:rFonts w:ascii="Times New Roman" w:hAnsi="Times New Roman" w:cs="Times New Roman"/>
        </w:rPr>
        <w:t xml:space="preserve">The latter is quantified using </w:t>
      </w:r>
      <w:r w:rsidRPr="00CD3970">
        <w:rPr>
          <w:rFonts w:ascii="Times New Roman" w:hAnsi="Times New Roman" w:cs="Times New Roman"/>
          <w:lang w:val="en-US"/>
        </w:rPr>
        <w:t>the Stringency Index of Hale et al (2020), which assign a daily score to each country for the severity of their restrictions imposed by government, ranging from 0 to 100 and taking account of different types of restrictions</w:t>
      </w:r>
      <w:r>
        <w:rPr>
          <w:rFonts w:ascii="Times New Roman" w:hAnsi="Times New Roman" w:cs="Times New Roman"/>
          <w:lang w:val="en-US"/>
        </w:rPr>
        <w:t xml:space="preserve">: see </w:t>
      </w:r>
      <w:hyperlink r:id="rId7" w:history="1">
        <w:r w:rsidRPr="00CD3970">
          <w:rPr>
            <w:rStyle w:val="Hyperlink"/>
            <w:rFonts w:ascii="Times New Roman" w:hAnsi="Times New Roman" w:cs="Times New Roman"/>
          </w:rPr>
          <w:t>https://covidtracker.bsg.ox.ac.uk/</w:t>
        </w:r>
      </w:hyperlink>
      <w:r w:rsidRPr="00CD3970">
        <w:rPr>
          <w:rFonts w:ascii="Times New Roman" w:hAnsi="Times New Roman" w:cs="Times New Roman"/>
        </w:rPr>
        <w:t xml:space="preserve"> for the data.</w:t>
      </w:r>
    </w:p>
  </w:footnote>
  <w:footnote w:id="13">
    <w:p w:rsidR="00D520CC" w:rsidRDefault="00D520CC">
      <w:pPr>
        <w:pStyle w:val="FootnoteText"/>
        <w:rPr>
          <w:rFonts w:ascii="Times New Roman" w:hAnsi="Times New Roman" w:cs="Times New Roman"/>
        </w:rPr>
      </w:pPr>
      <w:r w:rsidRPr="00AE5F0F">
        <w:rPr>
          <w:rStyle w:val="FootnoteReference"/>
          <w:rFonts w:ascii="Times New Roman" w:hAnsi="Times New Roman" w:cs="Times New Roman"/>
        </w:rPr>
        <w:footnoteRef/>
      </w:r>
      <w:r w:rsidRPr="00AE5F0F">
        <w:rPr>
          <w:rFonts w:ascii="Times New Roman" w:hAnsi="Times New Roman" w:cs="Times New Roman"/>
        </w:rPr>
        <w:t xml:space="preserve"> </w:t>
      </w:r>
      <w:r w:rsidRPr="00AE5F0F">
        <w:rPr>
          <w:rFonts w:ascii="Times New Roman" w:hAnsi="Times New Roman" w:cs="Times New Roman"/>
          <w:lang w:val="en-US"/>
        </w:rPr>
        <w:t xml:space="preserve">See </w:t>
      </w:r>
      <w:hyperlink r:id="rId8" w:anchor="excess-mortality" w:history="1">
        <w:r w:rsidRPr="00AE5F0F">
          <w:rPr>
            <w:rStyle w:val="Hyperlink"/>
            <w:rFonts w:ascii="Times New Roman" w:hAnsi="Times New Roman" w:cs="Times New Roman"/>
          </w:rPr>
          <w:t>https://www.euromomo.eu/graphs-and-maps#excess-mortality</w:t>
        </w:r>
      </w:hyperlink>
      <w:r>
        <w:rPr>
          <w:rFonts w:ascii="Times New Roman" w:hAnsi="Times New Roman" w:cs="Times New Roman"/>
        </w:rPr>
        <w:t>.</w:t>
      </w:r>
    </w:p>
    <w:p w:rsidR="00D520CC" w:rsidRPr="00AE5F0F" w:rsidRDefault="00D520CC">
      <w:pPr>
        <w:pStyle w:val="FootnoteText"/>
        <w:rPr>
          <w:rFonts w:ascii="Times New Roman" w:hAnsi="Times New Roman" w:cs="Times New Roman"/>
          <w:lang w:val="en-US"/>
        </w:rPr>
      </w:pPr>
    </w:p>
  </w:footnote>
  <w:footnote w:id="14">
    <w:p w:rsidR="00D520CC" w:rsidRPr="00453DD9" w:rsidRDefault="00D520CC" w:rsidP="00453DD9">
      <w:pPr>
        <w:pStyle w:val="FootnoteText"/>
        <w:jc w:val="both"/>
        <w:rPr>
          <w:rFonts w:ascii="Times New Roman" w:hAnsi="Times New Roman" w:cs="Times New Roman"/>
        </w:rPr>
      </w:pPr>
      <w:r w:rsidRPr="00453DD9">
        <w:rPr>
          <w:rStyle w:val="FootnoteReference"/>
          <w:rFonts w:ascii="Times New Roman" w:hAnsi="Times New Roman" w:cs="Times New Roman"/>
        </w:rPr>
        <w:footnoteRef/>
      </w:r>
      <w:r w:rsidRPr="00453DD9">
        <w:rPr>
          <w:rFonts w:ascii="Times New Roman" w:hAnsi="Times New Roman" w:cs="Times New Roman"/>
        </w:rPr>
        <w:t xml:space="preserve"> The countries are Austria, Belgium, Denmark, Estonia, Finland, France, Greece, Ireland, Italy, Luxembourg, Malta, Netherlands, Norway, Portugal, Spain, Sweden, Switzerland and the UK.  For the deaths, see </w:t>
      </w:r>
      <w:hyperlink r:id="rId9" w:history="1">
        <w:r w:rsidRPr="00453DD9">
          <w:rPr>
            <w:rStyle w:val="Hyperlink"/>
            <w:rFonts w:ascii="Times New Roman" w:hAnsi="Times New Roman" w:cs="Times New Roman"/>
          </w:rPr>
          <w:t>https://www.worldometers.info/coronavirus/</w:t>
        </w:r>
      </w:hyperlink>
      <w:r w:rsidRPr="00453DD9">
        <w:rPr>
          <w:rFonts w:ascii="Times New Roman" w:hAnsi="Times New Roman" w:cs="Times New Roman"/>
        </w:rPr>
        <w:t>.</w:t>
      </w:r>
    </w:p>
    <w:p w:rsidR="00D520CC" w:rsidRPr="004B2266" w:rsidRDefault="00D520CC">
      <w:pPr>
        <w:pStyle w:val="FootnoteText"/>
        <w:rPr>
          <w:lang w:val="en-US"/>
        </w:rPr>
      </w:pPr>
    </w:p>
  </w:footnote>
  <w:footnote w:id="15">
    <w:p w:rsidR="00D520CC" w:rsidRPr="00947E14" w:rsidRDefault="00D520CC">
      <w:pPr>
        <w:pStyle w:val="FootnoteText"/>
        <w:rPr>
          <w:rFonts w:ascii="Times New Roman" w:hAnsi="Times New Roman" w:cs="Times New Roman"/>
          <w:lang w:val="en-US"/>
        </w:rPr>
      </w:pPr>
      <w:r w:rsidRPr="00947E14">
        <w:rPr>
          <w:rStyle w:val="FootnoteReference"/>
          <w:rFonts w:ascii="Times New Roman" w:hAnsi="Times New Roman" w:cs="Times New Roman"/>
        </w:rPr>
        <w:footnoteRef/>
      </w:r>
      <w:r w:rsidRPr="00947E14">
        <w:rPr>
          <w:rFonts w:ascii="Times New Roman" w:hAnsi="Times New Roman" w:cs="Times New Roman"/>
        </w:rPr>
        <w:t xml:space="preserve"> </w:t>
      </w:r>
      <w:r w:rsidRPr="00947E14">
        <w:rPr>
          <w:rFonts w:ascii="Times New Roman" w:hAnsi="Times New Roman" w:cs="Times New Roman"/>
          <w:lang w:val="en-US"/>
        </w:rPr>
        <w:t xml:space="preserve">See </w:t>
      </w:r>
      <w:hyperlink r:id="rId10" w:history="1">
        <w:r w:rsidRPr="00947E14">
          <w:rPr>
            <w:rStyle w:val="Hyperlink"/>
            <w:rFonts w:ascii="Times New Roman" w:hAnsi="Times New Roman" w:cs="Times New Roman"/>
            <w:lang w:val="en-US"/>
          </w:rPr>
          <w:t>https://www.ined.fr/en/everything_about_population/data/europe-developed-countries/population-births-deaths/</w:t>
        </w:r>
      </w:hyperlink>
      <w:r>
        <w:rPr>
          <w:rFonts w:ascii="Times New Roman" w:hAnsi="Times New Roman" w:cs="Times New Roman"/>
          <w:lang w:val="en-US"/>
        </w:rPr>
        <w:t>.</w:t>
      </w:r>
    </w:p>
    <w:p w:rsidR="00D520CC" w:rsidRPr="00947E14" w:rsidRDefault="00D520CC">
      <w:pPr>
        <w:pStyle w:val="FootnoteText"/>
        <w:rPr>
          <w:lang w:val="en-US"/>
        </w:rPr>
      </w:pPr>
      <w:r>
        <w:rPr>
          <w:lang w:val="en-US"/>
        </w:rPr>
        <w:t>.</w:t>
      </w:r>
    </w:p>
  </w:footnote>
  <w:footnote w:id="16">
    <w:p w:rsidR="00D520CC" w:rsidRPr="00CD63C5" w:rsidRDefault="00D520CC" w:rsidP="006E1C8C">
      <w:pPr>
        <w:pStyle w:val="FootnoteText"/>
        <w:jc w:val="both"/>
        <w:rPr>
          <w:rFonts w:ascii="Times New Roman" w:hAnsi="Times New Roman" w:cs="Times New Roman"/>
          <w:lang w:val="en-US"/>
        </w:rPr>
      </w:pPr>
      <w:r w:rsidRPr="00CD63C5">
        <w:rPr>
          <w:rStyle w:val="FootnoteReference"/>
          <w:rFonts w:ascii="Times New Roman" w:hAnsi="Times New Roman" w:cs="Times New Roman"/>
        </w:rPr>
        <w:footnoteRef/>
      </w:r>
      <w:r w:rsidRPr="00CD63C5">
        <w:rPr>
          <w:rFonts w:ascii="Times New Roman" w:hAnsi="Times New Roman" w:cs="Times New Roman"/>
        </w:rPr>
        <w:t xml:space="preserve"> </w:t>
      </w:r>
      <w:r w:rsidRPr="00CD63C5">
        <w:rPr>
          <w:rFonts w:ascii="Times New Roman" w:hAnsi="Times New Roman" w:cs="Times New Roman"/>
          <w:lang w:val="en-US"/>
        </w:rPr>
        <w:t xml:space="preserve">See </w:t>
      </w:r>
      <w:hyperlink r:id="rId11" w:history="1">
        <w:r w:rsidRPr="00CD63C5">
          <w:rPr>
            <w:rStyle w:val="Hyperlink"/>
            <w:rFonts w:ascii="Times New Roman" w:hAnsi="Times New Roman" w:cs="Times New Roman"/>
            <w:lang w:val="en-US"/>
          </w:rPr>
          <w:t>https://www.statista.com/statistics/1107913/number-of-coronavirus-deaths-in-sweden-by-age-groups/</w:t>
        </w:r>
      </w:hyperlink>
      <w:r w:rsidRPr="00CD63C5">
        <w:rPr>
          <w:rFonts w:ascii="Times New Roman" w:hAnsi="Times New Roman" w:cs="Times New Roman"/>
          <w:lang w:val="en-US"/>
        </w:rPr>
        <w:t xml:space="preserve"> and </w:t>
      </w:r>
      <w:hyperlink r:id="rId12" w:history="1">
        <w:r w:rsidRPr="00CD63C5">
          <w:rPr>
            <w:rStyle w:val="Hyperlink"/>
            <w:rFonts w:ascii="Times New Roman" w:hAnsi="Times New Roman" w:cs="Times New Roman"/>
            <w:lang w:val="en-US"/>
          </w:rPr>
          <w:t>https://apps.who.int/gho/data/?theme=main&amp;vid=61600</w:t>
        </w:r>
      </w:hyperlink>
      <w:r w:rsidRPr="00CD63C5">
        <w:rPr>
          <w:rFonts w:ascii="Times New Roman" w:hAnsi="Times New Roman" w:cs="Times New Roman"/>
          <w:lang w:val="en-US"/>
        </w:rPr>
        <w:t>.</w:t>
      </w:r>
      <w:r>
        <w:rPr>
          <w:rFonts w:ascii="Times New Roman" w:hAnsi="Times New Roman" w:cs="Times New Roman"/>
          <w:lang w:val="en-US"/>
        </w:rPr>
        <w:t xml:space="preserve">  The age distribution is only available in ten-year blocks whilst life expectancy is only available in five year blocks up to age 85 follow</w:t>
      </w:r>
      <w:r w:rsidR="00037A0C">
        <w:rPr>
          <w:rFonts w:ascii="Times New Roman" w:hAnsi="Times New Roman" w:cs="Times New Roman"/>
          <w:lang w:val="en-US"/>
        </w:rPr>
        <w:t>ed by an 85+ group.  So, Table 4</w:t>
      </w:r>
      <w:r>
        <w:rPr>
          <w:rFonts w:ascii="Times New Roman" w:hAnsi="Times New Roman" w:cs="Times New Roman"/>
          <w:lang w:val="en-US"/>
        </w:rPr>
        <w:t xml:space="preserve"> shows the number of victims in ten-year blocks up to age 80as per the source data, the number of victims assigned to the 80-84 block is half of that reported in the 80-89 block, the other half of that block plus the 90+ block is combined to form an 85+ block, the life expectancies for the ten-year blocks up to age 80 are averaged over the data for each ten-year block, and the  life expectancies for the last two blocks are as per the source data.  The life expectancy data is also separately reported for males and females, unlike the age distribution of the victims, and the former data is therefore averaged over the sexes (since the Miles et al data reveal that the sex split of the victims is close to 50/50, at 56% men).</w:t>
      </w:r>
    </w:p>
    <w:p w:rsidR="00D520CC" w:rsidRPr="00CD63C5" w:rsidRDefault="00D520CC">
      <w:pPr>
        <w:pStyle w:val="FootnoteText"/>
        <w:rPr>
          <w:lang w:val="en-US"/>
        </w:rPr>
      </w:pPr>
    </w:p>
  </w:footnote>
  <w:footnote w:id="17">
    <w:p w:rsidR="00D520CC" w:rsidRPr="006E5DCA" w:rsidRDefault="00D520CC" w:rsidP="006E5DCA">
      <w:pPr>
        <w:pStyle w:val="FootnoteText"/>
        <w:jc w:val="both"/>
        <w:rPr>
          <w:rFonts w:ascii="Times New Roman" w:hAnsi="Times New Roman" w:cs="Times New Roman"/>
          <w:lang w:val="en-US"/>
        </w:rPr>
      </w:pPr>
      <w:r w:rsidRPr="006E5DCA">
        <w:rPr>
          <w:rStyle w:val="FootnoteReference"/>
          <w:rFonts w:ascii="Times New Roman" w:hAnsi="Times New Roman" w:cs="Times New Roman"/>
        </w:rPr>
        <w:footnoteRef/>
      </w:r>
      <w:r w:rsidRPr="006E5DCA">
        <w:rPr>
          <w:rFonts w:ascii="Times New Roman" w:hAnsi="Times New Roman" w:cs="Times New Roman"/>
        </w:rPr>
        <w:t xml:space="preserve"> </w:t>
      </w:r>
      <w:r w:rsidRPr="006E5DCA">
        <w:rPr>
          <w:rFonts w:ascii="Times New Roman" w:hAnsi="Times New Roman" w:cs="Times New Roman"/>
          <w:lang w:val="en-US"/>
        </w:rPr>
        <w:t>The figure of 6.67 years in this column of the table is a weighted average of 0.6 years for the nursing home residents, with weight 6/21, and 9.1 years for the rest.</w:t>
      </w:r>
    </w:p>
    <w:p w:rsidR="00D520CC" w:rsidRPr="006E5DCA" w:rsidRDefault="00D520CC">
      <w:pPr>
        <w:pStyle w:val="FootnoteText"/>
        <w:rPr>
          <w:lang w:val="en-US"/>
        </w:rPr>
      </w:pPr>
    </w:p>
  </w:footnote>
  <w:footnote w:id="18">
    <w:p w:rsidR="00D520CC" w:rsidRPr="007B243A" w:rsidRDefault="00D520CC" w:rsidP="007B243A">
      <w:pPr>
        <w:pStyle w:val="FootnoteText"/>
        <w:jc w:val="both"/>
        <w:rPr>
          <w:rFonts w:ascii="Times New Roman" w:hAnsi="Times New Roman" w:cs="Times New Roman"/>
          <w:lang w:val="en-US"/>
        </w:rPr>
      </w:pPr>
      <w:r w:rsidRPr="007B243A">
        <w:rPr>
          <w:rStyle w:val="FootnoteReference"/>
          <w:rFonts w:ascii="Times New Roman" w:hAnsi="Times New Roman" w:cs="Times New Roman"/>
        </w:rPr>
        <w:footnoteRef/>
      </w:r>
      <w:r w:rsidRPr="007B243A">
        <w:rPr>
          <w:rFonts w:ascii="Times New Roman" w:hAnsi="Times New Roman" w:cs="Times New Roman"/>
        </w:rPr>
        <w:t xml:space="preserve"> </w:t>
      </w:r>
      <w:r w:rsidRPr="007B243A">
        <w:rPr>
          <w:rFonts w:ascii="Times New Roman" w:hAnsi="Times New Roman" w:cs="Times New Roman"/>
          <w:lang w:val="en-US"/>
        </w:rPr>
        <w:t xml:space="preserve">Data from the New Zealand Period Life Tables 2012-2014, Table 5: </w:t>
      </w:r>
      <w:hyperlink r:id="rId13" w:anchor="gsc.tab=0" w:history="1">
        <w:r w:rsidRPr="007B243A">
          <w:rPr>
            <w:rStyle w:val="Hyperlink"/>
            <w:rFonts w:ascii="Times New Roman" w:hAnsi="Times New Roman" w:cs="Times New Roman"/>
            <w:lang w:val="en-US"/>
          </w:rPr>
          <w:t>http://archive.stats.govt.nz/browse_for_stats/health/life_expectancy/NZLifeTables_HOTP12-14/Data%20Quality.aspx#gsc.tab=0</w:t>
        </w:r>
      </w:hyperlink>
      <w:r w:rsidRPr="007B243A">
        <w:rPr>
          <w:rFonts w:ascii="Times New Roman" w:hAnsi="Times New Roman" w:cs="Times New Roman"/>
          <w:lang w:val="en-US"/>
        </w:rPr>
        <w:t xml:space="preserve">. </w:t>
      </w:r>
      <w:r>
        <w:rPr>
          <w:rFonts w:ascii="Times New Roman" w:hAnsi="Times New Roman" w:cs="Times New Roman"/>
          <w:lang w:val="en-US"/>
        </w:rPr>
        <w:t xml:space="preserve"> The table gives medians rather than means and therefore is not directly usable here.</w:t>
      </w:r>
    </w:p>
  </w:footnote>
  <w:footnote w:id="19">
    <w:p w:rsidR="00D520CC" w:rsidRPr="006E5DCA" w:rsidRDefault="00D520CC" w:rsidP="00071FB6">
      <w:pPr>
        <w:pStyle w:val="FootnoteText"/>
        <w:jc w:val="both"/>
        <w:rPr>
          <w:rFonts w:ascii="Times New Roman" w:hAnsi="Times New Roman" w:cs="Times New Roman"/>
          <w:lang w:val="en-US"/>
        </w:rPr>
      </w:pPr>
      <w:r w:rsidRPr="00071FB6">
        <w:rPr>
          <w:rStyle w:val="FootnoteReference"/>
          <w:rFonts w:ascii="Times New Roman" w:hAnsi="Times New Roman" w:cs="Times New Roman"/>
        </w:rPr>
        <w:footnoteRef/>
      </w:r>
      <w:r w:rsidRPr="00071FB6">
        <w:rPr>
          <w:rFonts w:ascii="Times New Roman" w:hAnsi="Times New Roman" w:cs="Times New Roman"/>
        </w:rPr>
        <w:t xml:space="preserve"> </w:t>
      </w:r>
      <w:r w:rsidRPr="00071FB6">
        <w:rPr>
          <w:rFonts w:ascii="Times New Roman" w:hAnsi="Times New Roman" w:cs="Times New Roman"/>
          <w:lang w:val="en-US"/>
        </w:rPr>
        <w:t xml:space="preserve">The figure of </w:t>
      </w:r>
      <w:r>
        <w:rPr>
          <w:rFonts w:ascii="Times New Roman" w:hAnsi="Times New Roman" w:cs="Times New Roman"/>
          <w:lang w:val="en-US"/>
        </w:rPr>
        <w:t xml:space="preserve">4.72 </w:t>
      </w:r>
      <w:r w:rsidRPr="006E5DCA">
        <w:rPr>
          <w:rFonts w:ascii="Times New Roman" w:hAnsi="Times New Roman" w:cs="Times New Roman"/>
          <w:lang w:val="en-US"/>
        </w:rPr>
        <w:t xml:space="preserve">years in </w:t>
      </w:r>
      <w:r>
        <w:rPr>
          <w:rFonts w:ascii="Times New Roman" w:hAnsi="Times New Roman" w:cs="Times New Roman"/>
          <w:lang w:val="en-US"/>
        </w:rPr>
        <w:t xml:space="preserve">the penultimate </w:t>
      </w:r>
      <w:r w:rsidRPr="006E5DCA">
        <w:rPr>
          <w:rFonts w:ascii="Times New Roman" w:hAnsi="Times New Roman" w:cs="Times New Roman"/>
          <w:lang w:val="en-US"/>
        </w:rPr>
        <w:t>column of the table is a weighted average of 0.6 years for the nursing home residents, with weight 6/21, and 9.1</w:t>
      </w:r>
      <w:r>
        <w:rPr>
          <w:rFonts w:ascii="Times New Roman" w:hAnsi="Times New Roman" w:cs="Times New Roman"/>
          <w:lang w:val="en-US"/>
        </w:rPr>
        <w:t>(0.7)</w:t>
      </w:r>
      <w:r w:rsidRPr="006E5DCA">
        <w:rPr>
          <w:rFonts w:ascii="Times New Roman" w:hAnsi="Times New Roman" w:cs="Times New Roman"/>
          <w:lang w:val="en-US"/>
        </w:rPr>
        <w:t xml:space="preserve"> years for the rest.</w:t>
      </w:r>
      <w:r>
        <w:rPr>
          <w:rFonts w:ascii="Times New Roman" w:hAnsi="Times New Roman" w:cs="Times New Roman"/>
          <w:lang w:val="en-US"/>
        </w:rPr>
        <w:t xml:space="preserve">  The figure of 2.80 in the final column is </w:t>
      </w:r>
      <w:r w:rsidRPr="006E5DCA">
        <w:rPr>
          <w:rFonts w:ascii="Times New Roman" w:hAnsi="Times New Roman" w:cs="Times New Roman"/>
          <w:lang w:val="en-US"/>
        </w:rPr>
        <w:t>a weighted average of 0.6 years for the nursi</w:t>
      </w:r>
      <w:r>
        <w:rPr>
          <w:rFonts w:ascii="Times New Roman" w:hAnsi="Times New Roman" w:cs="Times New Roman"/>
          <w:lang w:val="en-US"/>
        </w:rPr>
        <w:t>ng home residents, with weight 13</w:t>
      </w:r>
      <w:r w:rsidRPr="006E5DCA">
        <w:rPr>
          <w:rFonts w:ascii="Times New Roman" w:hAnsi="Times New Roman" w:cs="Times New Roman"/>
          <w:lang w:val="en-US"/>
        </w:rPr>
        <w:t>/21, and 9.1</w:t>
      </w:r>
      <w:r>
        <w:rPr>
          <w:rFonts w:ascii="Times New Roman" w:hAnsi="Times New Roman" w:cs="Times New Roman"/>
          <w:lang w:val="en-US"/>
        </w:rPr>
        <w:t>(0.7)</w:t>
      </w:r>
      <w:r w:rsidRPr="006E5DCA">
        <w:rPr>
          <w:rFonts w:ascii="Times New Roman" w:hAnsi="Times New Roman" w:cs="Times New Roman"/>
          <w:lang w:val="en-US"/>
        </w:rPr>
        <w:t xml:space="preserve"> years for the rest.</w:t>
      </w:r>
    </w:p>
    <w:p w:rsidR="00D520CC" w:rsidRPr="00071FB6" w:rsidRDefault="00D520CC">
      <w:pPr>
        <w:pStyle w:val="FootnoteText"/>
        <w:rPr>
          <w:lang w:val="en-US"/>
        </w:rPr>
      </w:pPr>
    </w:p>
  </w:footnote>
  <w:footnote w:id="20">
    <w:p w:rsidR="00D520CC" w:rsidRPr="00345DD3" w:rsidRDefault="00D520CC">
      <w:pPr>
        <w:pStyle w:val="FootnoteText"/>
        <w:rPr>
          <w:rFonts w:ascii="Times New Roman" w:hAnsi="Times New Roman" w:cs="Times New Roman"/>
          <w:lang w:val="en-US"/>
        </w:rPr>
      </w:pPr>
      <w:r>
        <w:rPr>
          <w:rStyle w:val="FootnoteReference"/>
        </w:rPr>
        <w:footnoteRef/>
      </w:r>
      <w:r>
        <w:t xml:space="preserve"> </w:t>
      </w:r>
      <w:r w:rsidRPr="00C04D79">
        <w:rPr>
          <w:rFonts w:ascii="Times New Roman" w:hAnsi="Times New Roman" w:cs="Times New Roman"/>
          <w:lang w:val="en-US"/>
        </w:rPr>
        <w:t xml:space="preserve">See </w:t>
      </w:r>
      <w:hyperlink r:id="rId14" w:history="1">
        <w:r w:rsidRPr="00C04D79">
          <w:rPr>
            <w:rStyle w:val="Hyperlink"/>
            <w:rFonts w:ascii="Times New Roman" w:hAnsi="Times New Roman" w:cs="Times New Roman"/>
          </w:rPr>
          <w:t>https://www.stats.govt.nz/information-releases/regional-gross-domestic-product-year-ended-march-2019</w:t>
        </w:r>
      </w:hyperlink>
      <w:r w:rsidRPr="00C04D79">
        <w:rPr>
          <w:rFonts w:ascii="Times New Roman" w:hAnsi="Times New Roman" w:cs="Times New Roman"/>
        </w:rPr>
        <w:t>.</w:t>
      </w:r>
    </w:p>
  </w:footnote>
  <w:footnote w:id="21">
    <w:p w:rsidR="00D520CC" w:rsidRPr="00697A56" w:rsidRDefault="00D520CC" w:rsidP="00697A56">
      <w:pPr>
        <w:pStyle w:val="FootnoteText"/>
        <w:jc w:val="both"/>
        <w:rPr>
          <w:rFonts w:ascii="Times New Roman" w:hAnsi="Times New Roman" w:cs="Times New Roman"/>
          <w:lang w:val="en-US"/>
        </w:rPr>
      </w:pPr>
      <w:r w:rsidRPr="00697A56">
        <w:rPr>
          <w:rStyle w:val="FootnoteReference"/>
          <w:rFonts w:ascii="Times New Roman" w:hAnsi="Times New Roman" w:cs="Times New Roman"/>
        </w:rPr>
        <w:footnoteRef/>
      </w:r>
      <w:r w:rsidRPr="00697A56">
        <w:rPr>
          <w:rFonts w:ascii="Times New Roman" w:hAnsi="Times New Roman" w:cs="Times New Roman"/>
        </w:rPr>
        <w:t xml:space="preserve"> </w:t>
      </w:r>
      <w:r w:rsidRPr="00697A56">
        <w:rPr>
          <w:rFonts w:ascii="Times New Roman" w:hAnsi="Times New Roman" w:cs="Times New Roman"/>
          <w:lang w:val="en-US"/>
        </w:rPr>
        <w:t xml:space="preserve">Blakely et al assume a basic reproduction rate of </w:t>
      </w:r>
      <w:r w:rsidRPr="00697A56">
        <w:rPr>
          <w:rFonts w:ascii="Times New Roman" w:hAnsi="Times New Roman" w:cs="Times New Roman"/>
          <w:i/>
          <w:lang w:val="en-US"/>
        </w:rPr>
        <w:t>R</w:t>
      </w:r>
      <w:r w:rsidRPr="00697A56">
        <w:rPr>
          <w:rFonts w:ascii="Times New Roman" w:hAnsi="Times New Roman" w:cs="Times New Roman"/>
          <w:i/>
          <w:vertAlign w:val="subscript"/>
          <w:lang w:val="en-US"/>
        </w:rPr>
        <w:t>0</w:t>
      </w:r>
      <w:r w:rsidRPr="00697A56">
        <w:rPr>
          <w:rFonts w:ascii="Times New Roman" w:hAnsi="Times New Roman" w:cs="Times New Roman"/>
          <w:lang w:val="en-US"/>
        </w:rPr>
        <w:t xml:space="preserve"> = 2.5 coupled with the classical formula that </w:t>
      </w:r>
      <w:r>
        <w:rPr>
          <w:rFonts w:ascii="Times New Roman" w:hAnsi="Times New Roman" w:cs="Times New Roman"/>
          <w:lang w:val="en-US"/>
        </w:rPr>
        <w:t>the “</w:t>
      </w:r>
      <w:r w:rsidRPr="00697A56">
        <w:rPr>
          <w:rFonts w:ascii="Times New Roman" w:hAnsi="Times New Roman" w:cs="Times New Roman"/>
          <w:lang w:val="en-US"/>
        </w:rPr>
        <w:t>Herd I</w:t>
      </w:r>
      <w:r>
        <w:rPr>
          <w:rFonts w:ascii="Times New Roman" w:hAnsi="Times New Roman" w:cs="Times New Roman"/>
          <w:lang w:val="en-US"/>
        </w:rPr>
        <w:t>mmunity T</w:t>
      </w:r>
      <w:r w:rsidRPr="00697A56">
        <w:rPr>
          <w:rFonts w:ascii="Times New Roman" w:hAnsi="Times New Roman" w:cs="Times New Roman"/>
          <w:lang w:val="en-US"/>
        </w:rPr>
        <w:t>hreshold</w:t>
      </w:r>
      <w:r>
        <w:rPr>
          <w:rFonts w:ascii="Times New Roman" w:hAnsi="Times New Roman" w:cs="Times New Roman"/>
          <w:lang w:val="en-US"/>
        </w:rPr>
        <w:t>”</w:t>
      </w:r>
      <w:r w:rsidRPr="00697A56">
        <w:rPr>
          <w:rFonts w:ascii="Times New Roman" w:hAnsi="Times New Roman" w:cs="Times New Roman"/>
          <w:lang w:val="en-US"/>
        </w:rPr>
        <w:t xml:space="preserve"> = 1 – (1/</w:t>
      </w:r>
      <w:r w:rsidRPr="00FB28B4">
        <w:rPr>
          <w:rFonts w:ascii="Times New Roman" w:hAnsi="Times New Roman" w:cs="Times New Roman"/>
          <w:i/>
          <w:lang w:val="en-US"/>
        </w:rPr>
        <w:t>R</w:t>
      </w:r>
      <w:r w:rsidRPr="00FB28B4">
        <w:rPr>
          <w:rFonts w:ascii="Times New Roman" w:hAnsi="Times New Roman" w:cs="Times New Roman"/>
          <w:i/>
          <w:vertAlign w:val="subscript"/>
          <w:lang w:val="en-US"/>
        </w:rPr>
        <w:t>0</w:t>
      </w:r>
      <w:r w:rsidRPr="00697A56">
        <w:rPr>
          <w:rFonts w:ascii="Times New Roman" w:hAnsi="Times New Roman" w:cs="Times New Roman"/>
          <w:lang w:val="en-US"/>
        </w:rPr>
        <w:t>).</w:t>
      </w:r>
      <w:r>
        <w:rPr>
          <w:rFonts w:ascii="Times New Roman" w:hAnsi="Times New Roman" w:cs="Times New Roman"/>
          <w:lang w:val="en-US"/>
        </w:rPr>
        <w:t xml:space="preserve">  This formula overestimates the Herd Immunity Threshold because it assumes no change in behavior by people as the death toll rises.  It also assumes that all members of a population are equally exposed to the virus and equally susceptible to it, which is not the case and this implies that herd immunity is achieved at a much lower proportion of the population infected (</w:t>
      </w:r>
      <w:proofErr w:type="spellStart"/>
      <w:r>
        <w:rPr>
          <w:rFonts w:ascii="Times New Roman" w:hAnsi="Times New Roman" w:cs="Times New Roman"/>
          <w:lang w:val="en-US"/>
        </w:rPr>
        <w:t>Aguas</w:t>
      </w:r>
      <w:proofErr w:type="spellEnd"/>
      <w:r>
        <w:rPr>
          <w:rFonts w:ascii="Times New Roman" w:hAnsi="Times New Roman" w:cs="Times New Roman"/>
          <w:lang w:val="en-US"/>
        </w:rPr>
        <w:t xml:space="preserve"> et al, 2020).</w:t>
      </w:r>
    </w:p>
    <w:p w:rsidR="00D520CC" w:rsidRPr="00697A56" w:rsidRDefault="00D520CC">
      <w:pPr>
        <w:pStyle w:val="FootnoteText"/>
        <w:rPr>
          <w:lang w:val="en-US"/>
        </w:rPr>
      </w:pPr>
    </w:p>
  </w:footnote>
  <w:footnote w:id="22">
    <w:p w:rsidR="00D520CC" w:rsidRPr="00177662" w:rsidRDefault="00D520CC" w:rsidP="00177662">
      <w:pPr>
        <w:pStyle w:val="FootnoteText"/>
        <w:jc w:val="both"/>
        <w:rPr>
          <w:rFonts w:ascii="Times New Roman" w:hAnsi="Times New Roman" w:cs="Times New Roman"/>
          <w:lang w:val="en-US"/>
        </w:rPr>
      </w:pPr>
      <w:r w:rsidRPr="00177662">
        <w:rPr>
          <w:rStyle w:val="FootnoteReference"/>
          <w:rFonts w:ascii="Times New Roman" w:hAnsi="Times New Roman" w:cs="Times New Roman"/>
        </w:rPr>
        <w:footnoteRef/>
      </w:r>
      <w:r w:rsidRPr="00177662">
        <w:rPr>
          <w:rFonts w:ascii="Times New Roman" w:hAnsi="Times New Roman" w:cs="Times New Roman"/>
        </w:rPr>
        <w:t xml:space="preserve"> </w:t>
      </w:r>
      <w:r w:rsidRPr="00177662">
        <w:rPr>
          <w:rFonts w:ascii="Times New Roman" w:hAnsi="Times New Roman" w:cs="Times New Roman"/>
          <w:lang w:val="en-US"/>
        </w:rPr>
        <w:t xml:space="preserve">The permanent displacement of other patients arises because the </w:t>
      </w:r>
      <w:r>
        <w:rPr>
          <w:rFonts w:ascii="Times New Roman" w:hAnsi="Times New Roman" w:cs="Times New Roman"/>
          <w:lang w:val="en-US"/>
        </w:rPr>
        <w:t xml:space="preserve">New Zealand public health </w:t>
      </w:r>
      <w:r w:rsidRPr="00177662">
        <w:rPr>
          <w:rFonts w:ascii="Times New Roman" w:hAnsi="Times New Roman" w:cs="Times New Roman"/>
          <w:lang w:val="en-US"/>
        </w:rPr>
        <w:t>system has insufficient capacity to even deal with the pre-</w:t>
      </w:r>
      <w:proofErr w:type="spellStart"/>
      <w:r w:rsidRPr="00177662">
        <w:rPr>
          <w:rFonts w:ascii="Times New Roman" w:hAnsi="Times New Roman" w:cs="Times New Roman"/>
          <w:lang w:val="en-US"/>
        </w:rPr>
        <w:t>covid</w:t>
      </w:r>
      <w:proofErr w:type="spellEnd"/>
      <w:r w:rsidRPr="00177662">
        <w:rPr>
          <w:rFonts w:ascii="Times New Roman" w:hAnsi="Times New Roman" w:cs="Times New Roman"/>
          <w:lang w:val="en-US"/>
        </w:rPr>
        <w:t xml:space="preserve"> demand, as </w:t>
      </w:r>
      <w:r>
        <w:rPr>
          <w:rFonts w:ascii="Times New Roman" w:hAnsi="Times New Roman" w:cs="Times New Roman"/>
          <w:lang w:val="en-US"/>
        </w:rPr>
        <w:t xml:space="preserve">is evident from the long queues.  In respect of these queues, see </w:t>
      </w:r>
      <w:hyperlink r:id="rId15" w:history="1">
        <w:r w:rsidRPr="00B63F3D">
          <w:rPr>
            <w:rStyle w:val="Hyperlink"/>
            <w:rFonts w:ascii="Times New Roman" w:hAnsi="Times New Roman" w:cs="Times New Roman"/>
            <w:lang w:val="en-US"/>
          </w:rPr>
          <w:t>https://www.nzherald.co.nz/nz/news/article.cfm?c_id=1&amp;objectid=12365158</w:t>
        </w:r>
      </w:hyperlink>
      <w:r>
        <w:rPr>
          <w:rFonts w:ascii="Times New Roman" w:hAnsi="Times New Roman" w:cs="Times New Roman"/>
          <w:lang w:val="en-US"/>
        </w:rPr>
        <w:t>.</w:t>
      </w:r>
    </w:p>
    <w:p w:rsidR="00D520CC" w:rsidRPr="00177662" w:rsidRDefault="00D520CC">
      <w:pPr>
        <w:pStyle w:val="FootnoteText"/>
        <w:rPr>
          <w:lang w:val="en-US"/>
        </w:rPr>
      </w:pPr>
    </w:p>
  </w:footnote>
  <w:footnote w:id="23">
    <w:p w:rsidR="00D520CC" w:rsidRDefault="00D520CC" w:rsidP="00EB3B20">
      <w:pPr>
        <w:pStyle w:val="FootnoteText"/>
        <w:jc w:val="both"/>
        <w:rPr>
          <w:rFonts w:ascii="Times New Roman" w:hAnsi="Times New Roman" w:cs="Times New Roman"/>
          <w:lang w:val="en-US"/>
        </w:rPr>
      </w:pPr>
      <w:r w:rsidRPr="00EB3B20">
        <w:rPr>
          <w:rStyle w:val="FootnoteReference"/>
          <w:rFonts w:ascii="Times New Roman" w:hAnsi="Times New Roman" w:cs="Times New Roman"/>
        </w:rPr>
        <w:footnoteRef/>
      </w:r>
      <w:r w:rsidRPr="00EB3B20">
        <w:rPr>
          <w:rFonts w:ascii="Times New Roman" w:hAnsi="Times New Roman" w:cs="Times New Roman"/>
        </w:rPr>
        <w:t xml:space="preserve"> </w:t>
      </w:r>
      <w:r w:rsidRPr="00EB3B20">
        <w:rPr>
          <w:rFonts w:ascii="Times New Roman" w:hAnsi="Times New Roman" w:cs="Times New Roman"/>
          <w:lang w:val="en-US"/>
        </w:rPr>
        <w:t xml:space="preserve">See </w:t>
      </w:r>
      <w:hyperlink r:id="rId16" w:history="1">
        <w:r w:rsidRPr="00EB3B20">
          <w:rPr>
            <w:rStyle w:val="Hyperlink"/>
            <w:rFonts w:ascii="Times New Roman" w:hAnsi="Times New Roman" w:cs="Times New Roman"/>
            <w:lang w:val="en-US"/>
          </w:rPr>
          <w:t>https://www.worldometers.info/coronavirus/</w:t>
        </w:r>
      </w:hyperlink>
      <w:r w:rsidRPr="00EB3B20">
        <w:rPr>
          <w:rFonts w:ascii="Times New Roman" w:hAnsi="Times New Roman" w:cs="Times New Roman"/>
          <w:lang w:val="en-US"/>
        </w:rPr>
        <w:t xml:space="preserve">. </w:t>
      </w:r>
      <w:r>
        <w:rPr>
          <w:rFonts w:ascii="Times New Roman" w:hAnsi="Times New Roman" w:cs="Times New Roman"/>
          <w:lang w:val="en-US"/>
        </w:rPr>
        <w:t xml:space="preserve"> </w:t>
      </w:r>
    </w:p>
    <w:p w:rsidR="00D520CC" w:rsidRPr="00EB3B20" w:rsidRDefault="00D520CC" w:rsidP="00EB3B20">
      <w:pPr>
        <w:pStyle w:val="FootnoteText"/>
        <w:jc w:val="both"/>
        <w:rPr>
          <w:rFonts w:ascii="Times New Roman" w:hAnsi="Times New Roman" w:cs="Times New Roman"/>
          <w:lang w:val="en-US"/>
        </w:rPr>
      </w:pPr>
    </w:p>
  </w:footnote>
  <w:footnote w:id="24">
    <w:p w:rsidR="00D520CC" w:rsidRPr="00952C20" w:rsidRDefault="00D520CC" w:rsidP="00952C20">
      <w:pPr>
        <w:pStyle w:val="FootnoteText"/>
        <w:jc w:val="both"/>
        <w:rPr>
          <w:rFonts w:ascii="Times New Roman" w:hAnsi="Times New Roman" w:cs="Times New Roman"/>
          <w:lang w:val="en-US"/>
        </w:rPr>
      </w:pPr>
      <w:r w:rsidRPr="00952C20">
        <w:rPr>
          <w:rStyle w:val="FootnoteReference"/>
          <w:rFonts w:ascii="Times New Roman" w:hAnsi="Times New Roman" w:cs="Times New Roman"/>
        </w:rPr>
        <w:footnoteRef/>
      </w:r>
      <w:r w:rsidRPr="00952C20">
        <w:rPr>
          <w:rFonts w:ascii="Times New Roman" w:hAnsi="Times New Roman" w:cs="Times New Roman"/>
        </w:rPr>
        <w:t xml:space="preserve"> </w:t>
      </w:r>
      <w:r>
        <w:rPr>
          <w:rFonts w:ascii="Times New Roman" w:hAnsi="Times New Roman" w:cs="Times New Roman"/>
          <w:lang w:val="en-US"/>
        </w:rPr>
        <w:t>Arnold et al (2020, Table 1) report that most of these slow recovery cases had co-morbidities, their mean BMI was 32, and their median age was 60.  See also</w:t>
      </w:r>
      <w:r w:rsidRPr="00952C20">
        <w:rPr>
          <w:rFonts w:ascii="Times New Roman" w:hAnsi="Times New Roman" w:cs="Times New Roman"/>
          <w:lang w:val="en-US"/>
        </w:rPr>
        <w:t xml:space="preserve"> </w:t>
      </w:r>
      <w:hyperlink r:id="rId17" w:anchor="Who-is-most-at-risk" w:history="1">
        <w:r w:rsidRPr="00952C20">
          <w:rPr>
            <w:rStyle w:val="Hyperlink"/>
            <w:rFonts w:ascii="Times New Roman" w:hAnsi="Times New Roman" w:cs="Times New Roman"/>
            <w:lang w:val="en-US"/>
          </w:rPr>
          <w:t>https://www.healthline.com/health-news/what-we-know-about-the-long-term-effects-of-covid-19#Who-is-most-at-risk</w:t>
        </w:r>
      </w:hyperlink>
      <w:r w:rsidRPr="00952C20">
        <w:rPr>
          <w:rFonts w:ascii="Times New Roman" w:hAnsi="Times New Roman" w:cs="Times New Roman"/>
          <w:lang w:val="en-US"/>
        </w:rPr>
        <w:t>?</w:t>
      </w:r>
      <w:r>
        <w:rPr>
          <w:rFonts w:ascii="Times New Roman" w:hAnsi="Times New Roman" w:cs="Times New Roman"/>
          <w:lang w:val="en-US"/>
        </w:rPr>
        <w:t xml:space="preserve"> </w:t>
      </w:r>
      <w:proofErr w:type="gramStart"/>
      <w:r>
        <w:rPr>
          <w:rFonts w:ascii="Times New Roman" w:hAnsi="Times New Roman" w:cs="Times New Roman"/>
          <w:lang w:val="en-US"/>
        </w:rPr>
        <w:t>and</w:t>
      </w:r>
      <w:proofErr w:type="gramEnd"/>
      <w:r>
        <w:rPr>
          <w:rFonts w:ascii="Times New Roman" w:hAnsi="Times New Roman" w:cs="Times New Roman"/>
          <w:lang w:val="en-US"/>
        </w:rPr>
        <w:t xml:space="preserve"> </w:t>
      </w:r>
      <w:hyperlink r:id="rId18" w:history="1">
        <w:r w:rsidRPr="00F31AC5">
          <w:rPr>
            <w:rStyle w:val="Hyperlink"/>
            <w:rFonts w:ascii="Times New Roman" w:hAnsi="Times New Roman" w:cs="Times New Roman"/>
            <w:lang w:val="en-US"/>
          </w:rPr>
          <w:t>https://www.mayoclinic.org/diseases-conditions/coronavirus/in-depth/coronavirus-long-term-effects/art-20490351</w:t>
        </w:r>
      </w:hyperlink>
      <w:r>
        <w:rPr>
          <w:rFonts w:ascii="Times New Roman" w:hAnsi="Times New Roman" w:cs="Times New Roman"/>
          <w:lang w:val="en-US"/>
        </w:rPr>
        <w:t>.</w:t>
      </w:r>
    </w:p>
  </w:footnote>
  <w:footnote w:id="25">
    <w:p w:rsidR="00D520CC" w:rsidRPr="003A2A3D" w:rsidRDefault="00D520CC" w:rsidP="003A2A3D">
      <w:pPr>
        <w:pStyle w:val="FootnoteText"/>
        <w:jc w:val="both"/>
        <w:rPr>
          <w:rFonts w:ascii="Times New Roman" w:hAnsi="Times New Roman" w:cs="Times New Roman"/>
          <w:lang w:val="en-US"/>
        </w:rPr>
      </w:pPr>
      <w:r w:rsidRPr="003A2A3D">
        <w:rPr>
          <w:rStyle w:val="FootnoteReference"/>
          <w:rFonts w:ascii="Times New Roman" w:hAnsi="Times New Roman" w:cs="Times New Roman"/>
        </w:rPr>
        <w:footnoteRef/>
      </w:r>
      <w:r w:rsidRPr="003A2A3D">
        <w:rPr>
          <w:rFonts w:ascii="Times New Roman" w:hAnsi="Times New Roman" w:cs="Times New Roman"/>
        </w:rPr>
        <w:t xml:space="preserve"> </w:t>
      </w:r>
      <w:r>
        <w:rPr>
          <w:rFonts w:ascii="Times New Roman" w:hAnsi="Times New Roman" w:cs="Times New Roman"/>
        </w:rPr>
        <w:t xml:space="preserve">One year seems like an upper bound in view of the fact that </w:t>
      </w:r>
      <w:r w:rsidRPr="003A2A3D">
        <w:rPr>
          <w:rFonts w:ascii="Times New Roman" w:hAnsi="Times New Roman" w:cs="Times New Roman"/>
          <w:lang w:val="en-US"/>
        </w:rPr>
        <w:t>Pfizer</w:t>
      </w:r>
      <w:r>
        <w:rPr>
          <w:rFonts w:ascii="Times New Roman" w:hAnsi="Times New Roman" w:cs="Times New Roman"/>
          <w:lang w:val="en-US"/>
        </w:rPr>
        <w:t>’s vaccine has just been approved by the UK government and mass production has commenced</w:t>
      </w:r>
      <w:r w:rsidRPr="003A2A3D">
        <w:rPr>
          <w:rFonts w:ascii="Times New Roman" w:hAnsi="Times New Roman" w:cs="Times New Roman"/>
          <w:lang w:val="en-US"/>
        </w:rPr>
        <w:t xml:space="preserve">: see </w:t>
      </w:r>
      <w:hyperlink r:id="rId19" w:history="1">
        <w:r w:rsidRPr="00743851">
          <w:rPr>
            <w:rStyle w:val="Hyperlink"/>
            <w:rFonts w:ascii="Times New Roman" w:hAnsi="Times New Roman" w:cs="Times New Roman"/>
            <w:lang w:val="en-US"/>
          </w:rPr>
          <w:t>https://edition.cnn.com/2020/12/02/uk/pfizer-coronavirus-vaccine-uk-intl-hnk/index.html</w:t>
        </w:r>
      </w:hyperlink>
      <w:r>
        <w:rPr>
          <w:rFonts w:ascii="Times New Roman" w:hAnsi="Times New Roman" w:cs="Times New Roman"/>
          <w:lang w:val="en-US"/>
        </w:rPr>
        <w:t>.</w:t>
      </w:r>
    </w:p>
  </w:footnote>
  <w:footnote w:id="26">
    <w:p w:rsidR="00D520CC" w:rsidRPr="00721E09" w:rsidRDefault="00D520CC" w:rsidP="00721E09">
      <w:pPr>
        <w:pStyle w:val="FootnoteText"/>
        <w:jc w:val="both"/>
        <w:rPr>
          <w:rFonts w:ascii="Times New Roman" w:hAnsi="Times New Roman" w:cs="Times New Roman"/>
          <w:lang w:val="en-US"/>
        </w:rPr>
      </w:pPr>
      <w:r w:rsidRPr="00721E09">
        <w:rPr>
          <w:rStyle w:val="FootnoteReference"/>
          <w:rFonts w:ascii="Times New Roman" w:hAnsi="Times New Roman" w:cs="Times New Roman"/>
        </w:rPr>
        <w:footnoteRef/>
      </w:r>
      <w:r w:rsidRPr="00721E09">
        <w:rPr>
          <w:rFonts w:ascii="Times New Roman" w:hAnsi="Times New Roman" w:cs="Times New Roman"/>
        </w:rPr>
        <w:t xml:space="preserve"> </w:t>
      </w:r>
      <w:r w:rsidRPr="00721E09">
        <w:rPr>
          <w:rFonts w:ascii="Times New Roman" w:hAnsi="Times New Roman" w:cs="Times New Roman"/>
          <w:lang w:val="en-US"/>
        </w:rPr>
        <w:t xml:space="preserve">See </w:t>
      </w:r>
      <w:hyperlink r:id="rId20" w:history="1">
        <w:r w:rsidRPr="00721E09">
          <w:rPr>
            <w:rStyle w:val="Hyperlink"/>
            <w:rFonts w:ascii="Times New Roman" w:hAnsi="Times New Roman" w:cs="Times New Roman"/>
            <w:lang w:val="en-US"/>
          </w:rPr>
          <w:t>https://www.stuff.co.nz/national/health/coronavirus/120435284/coronavirus-how-close-is-new-zealand-to-lockdowns</w:t>
        </w:r>
      </w:hyperlink>
      <w:r w:rsidRPr="00721E09">
        <w:rPr>
          <w:rFonts w:ascii="Times New Roman" w:hAnsi="Times New Roman" w:cs="Times New Roman"/>
          <w:lang w:val="en-US"/>
        </w:rPr>
        <w:t>.</w:t>
      </w:r>
    </w:p>
    <w:p w:rsidR="00D520CC" w:rsidRPr="00721E09" w:rsidRDefault="00D520CC">
      <w:pPr>
        <w:pStyle w:val="FootnoteText"/>
        <w:rPr>
          <w:lang w:val="en-US"/>
        </w:rPr>
      </w:pPr>
    </w:p>
  </w:footnote>
  <w:footnote w:id="27">
    <w:p w:rsidR="00D520CC" w:rsidRDefault="00D520CC">
      <w:pPr>
        <w:pStyle w:val="FootnoteText"/>
        <w:rPr>
          <w:rFonts w:ascii="Times New Roman" w:hAnsi="Times New Roman" w:cs="Times New Roman"/>
          <w:lang w:val="en-US"/>
        </w:rPr>
      </w:pPr>
      <w:r w:rsidRPr="00477DEF">
        <w:rPr>
          <w:rStyle w:val="FootnoteReference"/>
          <w:rFonts w:ascii="Times New Roman" w:hAnsi="Times New Roman" w:cs="Times New Roman"/>
        </w:rPr>
        <w:footnoteRef/>
      </w:r>
      <w:r w:rsidRPr="00477DEF">
        <w:rPr>
          <w:rFonts w:ascii="Times New Roman" w:hAnsi="Times New Roman" w:cs="Times New Roman"/>
        </w:rPr>
        <w:t xml:space="preserve"> </w:t>
      </w:r>
      <w:r w:rsidRPr="00477DEF">
        <w:rPr>
          <w:rFonts w:ascii="Times New Roman" w:hAnsi="Times New Roman" w:cs="Times New Roman"/>
          <w:lang w:val="en-US"/>
        </w:rPr>
        <w:t xml:space="preserve">See </w:t>
      </w:r>
      <w:hyperlink r:id="rId21" w:history="1">
        <w:r w:rsidRPr="00477DEF">
          <w:rPr>
            <w:rStyle w:val="Hyperlink"/>
            <w:rFonts w:ascii="Times New Roman" w:hAnsi="Times New Roman" w:cs="Times New Roman"/>
            <w:lang w:val="en-US"/>
          </w:rPr>
          <w:t>https://www.nzherald.co.nz/nz/my-story-professor-michael-baker-i-wept-when-pm-announced-that-nz-was-going-into-lockdown/GFCRGQ4DUEXDQOMFTRVYR7BH7E/</w:t>
        </w:r>
      </w:hyperlink>
      <w:r w:rsidRPr="00477DEF">
        <w:rPr>
          <w:rFonts w:ascii="Times New Roman" w:hAnsi="Times New Roman" w:cs="Times New Roman"/>
          <w:lang w:val="en-US"/>
        </w:rPr>
        <w:t>.</w:t>
      </w:r>
    </w:p>
    <w:p w:rsidR="00D520CC" w:rsidRPr="00477DEF" w:rsidRDefault="00D520CC">
      <w:pPr>
        <w:pStyle w:val="FootnoteText"/>
        <w:rPr>
          <w:rFonts w:ascii="Times New Roman" w:hAnsi="Times New Roman" w:cs="Times New Roman"/>
          <w:lang w:val="en-US"/>
        </w:rPr>
      </w:pPr>
    </w:p>
  </w:footnote>
  <w:footnote w:id="28">
    <w:p w:rsidR="00D520CC" w:rsidRPr="00215A46" w:rsidRDefault="00D520CC">
      <w:pPr>
        <w:pStyle w:val="FootnoteText"/>
        <w:rPr>
          <w:rFonts w:ascii="Times New Roman" w:hAnsi="Times New Roman" w:cs="Times New Roman"/>
          <w:lang w:val="en-US"/>
        </w:rPr>
      </w:pPr>
      <w:r w:rsidRPr="00215A46">
        <w:rPr>
          <w:rStyle w:val="FootnoteReference"/>
          <w:rFonts w:ascii="Times New Roman" w:hAnsi="Times New Roman" w:cs="Times New Roman"/>
        </w:rPr>
        <w:footnoteRef/>
      </w:r>
      <w:r w:rsidRPr="00215A46">
        <w:rPr>
          <w:rFonts w:ascii="Times New Roman" w:hAnsi="Times New Roman" w:cs="Times New Roman"/>
        </w:rPr>
        <w:t xml:space="preserve"> </w:t>
      </w:r>
      <w:proofErr w:type="gramStart"/>
      <w:r w:rsidRPr="00215A46">
        <w:rPr>
          <w:rFonts w:ascii="Times New Roman" w:hAnsi="Times New Roman" w:cs="Times New Roman"/>
          <w:lang w:val="en-US"/>
        </w:rPr>
        <w:t xml:space="preserve">Data from </w:t>
      </w:r>
      <w:hyperlink r:id="rId22" w:history="1">
        <w:r w:rsidRPr="00215A46">
          <w:rPr>
            <w:rStyle w:val="Hyperlink"/>
            <w:rFonts w:ascii="Times New Roman" w:hAnsi="Times New Roman" w:cs="Times New Roman"/>
            <w:lang w:val="en-US"/>
          </w:rPr>
          <w:t>https://www.worldometers.info/coronavirus/</w:t>
        </w:r>
      </w:hyperlink>
      <w:r w:rsidRPr="00215A46">
        <w:rPr>
          <w:rFonts w:ascii="Times New Roman" w:hAnsi="Times New Roman" w:cs="Times New Roman"/>
          <w:lang w:val="en-US"/>
        </w:rPr>
        <w:t>.</w:t>
      </w:r>
      <w:proofErr w:type="gramEnd"/>
    </w:p>
    <w:p w:rsidR="00D520CC" w:rsidRPr="00215A46" w:rsidRDefault="00D520CC">
      <w:pPr>
        <w:pStyle w:val="FootnoteText"/>
        <w:rPr>
          <w:lang w:val="en-US"/>
        </w:rPr>
      </w:pPr>
    </w:p>
  </w:footnote>
  <w:footnote w:id="29">
    <w:p w:rsidR="00D520CC" w:rsidRPr="00986957" w:rsidRDefault="00D520CC" w:rsidP="006A3D32">
      <w:pPr>
        <w:pStyle w:val="FootnoteText"/>
        <w:jc w:val="both"/>
        <w:rPr>
          <w:rFonts w:ascii="Times New Roman" w:hAnsi="Times New Roman" w:cs="Times New Roman"/>
          <w:lang w:val="en-US"/>
        </w:rPr>
      </w:pPr>
      <w:r w:rsidRPr="006A3D32">
        <w:rPr>
          <w:rStyle w:val="FootnoteReference"/>
          <w:rFonts w:ascii="Times New Roman" w:hAnsi="Times New Roman" w:cs="Times New Roman"/>
        </w:rPr>
        <w:footnoteRef/>
      </w:r>
      <w:r w:rsidRPr="006A3D32">
        <w:rPr>
          <w:rFonts w:ascii="Times New Roman" w:hAnsi="Times New Roman" w:cs="Times New Roman"/>
        </w:rPr>
        <w:t xml:space="preserve"> </w:t>
      </w:r>
      <w:r w:rsidRPr="00986957">
        <w:rPr>
          <w:rFonts w:ascii="Times New Roman" w:hAnsi="Times New Roman" w:cs="Times New Roman"/>
        </w:rPr>
        <w:t xml:space="preserve">Examples include </w:t>
      </w:r>
      <w:r w:rsidRPr="00986957">
        <w:rPr>
          <w:rFonts w:ascii="Times New Roman" w:hAnsi="Times New Roman" w:cs="Times New Roman"/>
          <w:lang w:val="en-US"/>
        </w:rPr>
        <w:t>the importance of properly quarantining rest homes, the best use of ventilators, and the merits of awake prone positioning</w:t>
      </w:r>
      <w:r>
        <w:rPr>
          <w:rFonts w:ascii="Times New Roman" w:hAnsi="Times New Roman" w:cs="Times New Roman"/>
          <w:lang w:val="en-US"/>
        </w:rPr>
        <w:t>.</w:t>
      </w:r>
      <w:r w:rsidRPr="00986957">
        <w:rPr>
          <w:rFonts w:ascii="Times New Roman" w:hAnsi="Times New Roman" w:cs="Times New Roman"/>
          <w:lang w:val="en-US"/>
        </w:rPr>
        <w:t xml:space="preserve"> </w:t>
      </w:r>
      <w:r>
        <w:rPr>
          <w:rFonts w:ascii="Times New Roman" w:hAnsi="Times New Roman" w:cs="Times New Roman"/>
          <w:lang w:val="en-US"/>
        </w:rPr>
        <w:t xml:space="preserve"> </w:t>
      </w:r>
      <w:r w:rsidRPr="00986957">
        <w:rPr>
          <w:rFonts w:ascii="Times New Roman" w:hAnsi="Times New Roman" w:cs="Times New Roman"/>
          <w:lang w:val="en-US"/>
        </w:rPr>
        <w:t xml:space="preserve">See </w:t>
      </w:r>
      <w:hyperlink r:id="rId23" w:history="1">
        <w:r w:rsidRPr="00986957">
          <w:rPr>
            <w:rStyle w:val="Hyperlink"/>
            <w:rFonts w:ascii="Times New Roman" w:hAnsi="Times New Roman" w:cs="Times New Roman"/>
            <w:lang w:val="en-US"/>
          </w:rPr>
          <w:t>https://www.statnews.com/2020/04/08/doctors-say-ventilators-overused-for-covid-19/</w:t>
        </w:r>
      </w:hyperlink>
      <w:r w:rsidRPr="00986957">
        <w:rPr>
          <w:rFonts w:ascii="Times New Roman" w:hAnsi="Times New Roman" w:cs="Times New Roman"/>
          <w:lang w:val="en-US"/>
        </w:rPr>
        <w:t xml:space="preserve">, and </w:t>
      </w:r>
      <w:hyperlink r:id="rId24" w:history="1">
        <w:r w:rsidRPr="00986957">
          <w:rPr>
            <w:rStyle w:val="Hyperlink"/>
            <w:rFonts w:ascii="Times New Roman" w:hAnsi="Times New Roman" w:cs="Times New Roman"/>
            <w:lang w:val="en-US"/>
          </w:rPr>
          <w:t>https://www.nzherald.co.nz/nz/news/article.cfm?c_id=1&amp;objectid=12322501</w:t>
        </w:r>
      </w:hyperlink>
      <w:r w:rsidRPr="00986957">
        <w:rPr>
          <w:rFonts w:ascii="Times New Roman" w:hAnsi="Times New Roman" w:cs="Times New Roman"/>
          <w:lang w:val="en-US"/>
        </w:rPr>
        <w:t xml:space="preserve">, and </w:t>
      </w:r>
      <w:proofErr w:type="spellStart"/>
      <w:r w:rsidRPr="00986957">
        <w:rPr>
          <w:rFonts w:ascii="Times New Roman" w:hAnsi="Times New Roman" w:cs="Times New Roman"/>
          <w:lang w:val="en-US"/>
        </w:rPr>
        <w:t>Koeckerling</w:t>
      </w:r>
      <w:proofErr w:type="spellEnd"/>
      <w:r w:rsidRPr="00986957">
        <w:rPr>
          <w:rFonts w:ascii="Times New Roman" w:hAnsi="Times New Roman" w:cs="Times New Roman"/>
          <w:lang w:val="en-US"/>
        </w:rPr>
        <w:t xml:space="preserve"> et al (2020).</w:t>
      </w:r>
    </w:p>
    <w:p w:rsidR="00D520CC" w:rsidRPr="006A3D32" w:rsidRDefault="00D520CC">
      <w:pPr>
        <w:pStyle w:val="FootnoteText"/>
        <w:rPr>
          <w:lang w:val="en-US"/>
        </w:rPr>
      </w:pPr>
    </w:p>
  </w:footnote>
  <w:footnote w:id="30">
    <w:p w:rsidR="00D520CC" w:rsidRPr="00C04D79" w:rsidRDefault="00D520CC">
      <w:pPr>
        <w:pStyle w:val="FootnoteText"/>
        <w:rPr>
          <w:rFonts w:ascii="Times New Roman" w:hAnsi="Times New Roman" w:cs="Times New Roman"/>
          <w:lang w:val="en-US"/>
        </w:rPr>
      </w:pPr>
      <w:r w:rsidRPr="00C04D79">
        <w:rPr>
          <w:rStyle w:val="FootnoteReference"/>
          <w:rFonts w:ascii="Times New Roman" w:hAnsi="Times New Roman" w:cs="Times New Roman"/>
        </w:rPr>
        <w:footnoteRef/>
      </w:r>
      <w:r w:rsidRPr="00C04D79">
        <w:rPr>
          <w:rFonts w:ascii="Times New Roman" w:hAnsi="Times New Roman" w:cs="Times New Roman"/>
        </w:rPr>
        <w:t xml:space="preserve"> </w:t>
      </w:r>
      <w:r w:rsidRPr="00C04D79">
        <w:rPr>
          <w:rFonts w:ascii="Times New Roman" w:hAnsi="Times New Roman" w:cs="Times New Roman"/>
          <w:lang w:val="en-US"/>
        </w:rPr>
        <w:t xml:space="preserve">See </w:t>
      </w:r>
      <w:hyperlink r:id="rId25" w:history="1">
        <w:r w:rsidRPr="00C04D79">
          <w:rPr>
            <w:rStyle w:val="Hyperlink"/>
            <w:rFonts w:ascii="Times New Roman" w:hAnsi="Times New Roman" w:cs="Times New Roman"/>
          </w:rPr>
          <w:t>https://www.stats.govt.nz/information-releases/regional-gross-domestic-product-year-ended-march-2019</w:t>
        </w:r>
      </w:hyperlink>
      <w:r w:rsidRPr="00C04D79">
        <w:rPr>
          <w:rFonts w:ascii="Times New Roman" w:hAnsi="Times New Roman" w:cs="Times New Roman"/>
        </w:rPr>
        <w:t>.</w:t>
      </w:r>
    </w:p>
  </w:footnote>
  <w:footnote w:id="31">
    <w:p w:rsidR="00D520CC" w:rsidRDefault="00D520CC" w:rsidP="00804186">
      <w:pPr>
        <w:pStyle w:val="FootnoteText"/>
        <w:rPr>
          <w:rFonts w:ascii="Times New Roman" w:hAnsi="Times New Roman" w:cs="Times New Roman"/>
        </w:rPr>
      </w:pPr>
      <w:r w:rsidRPr="00A23006">
        <w:rPr>
          <w:rStyle w:val="FootnoteReference"/>
          <w:rFonts w:ascii="Times New Roman" w:hAnsi="Times New Roman" w:cs="Times New Roman"/>
        </w:rPr>
        <w:footnoteRef/>
      </w:r>
      <w:r w:rsidRPr="00A23006">
        <w:rPr>
          <w:rFonts w:ascii="Times New Roman" w:hAnsi="Times New Roman" w:cs="Times New Roman"/>
        </w:rPr>
        <w:t xml:space="preserve"> </w:t>
      </w:r>
      <w:r w:rsidRPr="00A23006">
        <w:rPr>
          <w:rFonts w:ascii="Times New Roman" w:hAnsi="Times New Roman" w:cs="Times New Roman"/>
          <w:lang w:val="en-US"/>
        </w:rPr>
        <w:t xml:space="preserve">See </w:t>
      </w:r>
      <w:hyperlink r:id="rId26" w:history="1">
        <w:r w:rsidRPr="00A23006">
          <w:rPr>
            <w:rStyle w:val="Hyperlink"/>
            <w:rFonts w:ascii="Times New Roman" w:hAnsi="Times New Roman" w:cs="Times New Roman"/>
          </w:rPr>
          <w:t>https://covidtracker.bsg.ox.ac.uk/</w:t>
        </w:r>
      </w:hyperlink>
      <w:r>
        <w:rPr>
          <w:rFonts w:ascii="Times New Roman" w:hAnsi="Times New Roman" w:cs="Times New Roman"/>
        </w:rPr>
        <w:t xml:space="preserve"> for the data.  Their other indexes produce similar results.</w:t>
      </w:r>
    </w:p>
    <w:p w:rsidR="00D520CC" w:rsidRPr="00A23006" w:rsidRDefault="00D520CC" w:rsidP="00804186">
      <w:pPr>
        <w:pStyle w:val="FootnoteText"/>
        <w:rPr>
          <w:rFonts w:ascii="Times New Roman" w:hAnsi="Times New Roman" w:cs="Times New Roman"/>
          <w:lang w:val="en-US"/>
        </w:rPr>
      </w:pPr>
    </w:p>
  </w:footnote>
  <w:footnote w:id="32">
    <w:p w:rsidR="00D520CC" w:rsidRPr="00623E81" w:rsidRDefault="00D520CC" w:rsidP="00623E81">
      <w:pPr>
        <w:pStyle w:val="FootnoteText"/>
        <w:jc w:val="both"/>
        <w:rPr>
          <w:rFonts w:ascii="Times New Roman" w:hAnsi="Times New Roman" w:cs="Times New Roman"/>
          <w:lang w:val="en-US"/>
        </w:rPr>
      </w:pPr>
      <w:r w:rsidRPr="00623E81">
        <w:rPr>
          <w:rStyle w:val="FootnoteReference"/>
          <w:rFonts w:ascii="Times New Roman" w:hAnsi="Times New Roman" w:cs="Times New Roman"/>
        </w:rPr>
        <w:footnoteRef/>
      </w:r>
      <w:r w:rsidRPr="00623E81">
        <w:rPr>
          <w:rFonts w:ascii="Times New Roman" w:hAnsi="Times New Roman" w:cs="Times New Roman"/>
        </w:rPr>
        <w:t xml:space="preserve"> </w:t>
      </w:r>
      <w:r w:rsidRPr="00623E81">
        <w:rPr>
          <w:rFonts w:ascii="Times New Roman" w:hAnsi="Times New Roman" w:cs="Times New Roman"/>
          <w:lang w:val="en-US"/>
        </w:rPr>
        <w:t>Malta is excluded because Hale et al (2020) does not include data on them</w:t>
      </w:r>
      <w:r>
        <w:rPr>
          <w:rFonts w:ascii="Times New Roman" w:hAnsi="Times New Roman" w:cs="Times New Roman"/>
          <w:lang w:val="en-US"/>
        </w:rPr>
        <w:t xml:space="preserve">.  In addition the </w:t>
      </w:r>
      <w:r w:rsidRPr="00623E81">
        <w:rPr>
          <w:rFonts w:ascii="Times New Roman" w:hAnsi="Times New Roman" w:cs="Times New Roman"/>
          <w:lang w:val="en-US"/>
        </w:rPr>
        <w:t xml:space="preserve">political entities with very small populations (under 100,000) are </w:t>
      </w:r>
      <w:r>
        <w:rPr>
          <w:rFonts w:ascii="Times New Roman" w:hAnsi="Times New Roman" w:cs="Times New Roman"/>
          <w:lang w:val="en-US"/>
        </w:rPr>
        <w:t xml:space="preserve">all </w:t>
      </w:r>
      <w:r w:rsidRPr="00623E81">
        <w:rPr>
          <w:rFonts w:ascii="Times New Roman" w:hAnsi="Times New Roman" w:cs="Times New Roman"/>
          <w:lang w:val="en-US"/>
        </w:rPr>
        <w:t>excluded because</w:t>
      </w:r>
      <w:r>
        <w:rPr>
          <w:rFonts w:ascii="Times New Roman" w:hAnsi="Times New Roman" w:cs="Times New Roman"/>
          <w:lang w:val="en-US"/>
        </w:rPr>
        <w:t xml:space="preserve"> many of the data sources used for this analysis do not provide data on them.  For example, Hale et al (2020) does not include data on the Faeroe Islands, Monaco and Liechtenstein, whilst the “List of Countries by Age Structure” does not include data on Andorra, San Marino, Gibraltar, and Greenland.</w:t>
      </w:r>
    </w:p>
  </w:footnote>
  <w:footnote w:id="33">
    <w:p w:rsidR="00D520CC" w:rsidRPr="002E6127" w:rsidRDefault="00D520CC" w:rsidP="00804186">
      <w:pPr>
        <w:pStyle w:val="FootnoteText"/>
        <w:jc w:val="both"/>
        <w:rPr>
          <w:rFonts w:ascii="Times New Roman" w:hAnsi="Times New Roman" w:cs="Times New Roman"/>
        </w:rPr>
      </w:pPr>
      <w:r w:rsidRPr="002E6127">
        <w:rPr>
          <w:rStyle w:val="FootnoteReference"/>
          <w:rFonts w:ascii="Times New Roman" w:hAnsi="Times New Roman" w:cs="Times New Roman"/>
        </w:rPr>
        <w:footnoteRef/>
      </w:r>
      <w:r w:rsidRPr="002E6127">
        <w:rPr>
          <w:rFonts w:ascii="Times New Roman" w:hAnsi="Times New Roman" w:cs="Times New Roman"/>
        </w:rPr>
        <w:t xml:space="preserve"> For the population of countries, see the last column of </w:t>
      </w:r>
      <w:hyperlink r:id="rId27" w:history="1">
        <w:r w:rsidRPr="002E6127">
          <w:rPr>
            <w:rStyle w:val="Hyperlink"/>
            <w:rFonts w:ascii="Times New Roman" w:hAnsi="Times New Roman" w:cs="Times New Roman"/>
          </w:rPr>
          <w:t>https://www.worldometers.info/coronavirus/</w:t>
        </w:r>
      </w:hyperlink>
      <w:r w:rsidRPr="002E6127">
        <w:rPr>
          <w:rFonts w:ascii="Times New Roman" w:hAnsi="Times New Roman" w:cs="Times New Roman"/>
        </w:rPr>
        <w:t xml:space="preserve">.  For area of countries, see third column of </w:t>
      </w:r>
      <w:hyperlink r:id="rId28" w:history="1">
        <w:r w:rsidRPr="002E6127">
          <w:rPr>
            <w:rStyle w:val="Hyperlink"/>
            <w:rFonts w:ascii="Times New Roman" w:hAnsi="Times New Roman" w:cs="Times New Roman"/>
          </w:rPr>
          <w:t>https://en.wikipedia.org/wiki/List_of_countries_and_dependencies_by_area</w:t>
        </w:r>
      </w:hyperlink>
      <w:r w:rsidRPr="002E6127">
        <w:rPr>
          <w:rFonts w:ascii="Times New Roman" w:hAnsi="Times New Roman" w:cs="Times New Roman"/>
        </w:rPr>
        <w:t xml:space="preserve">.  For GDP per capita of countries, see the first column (IMF data) of </w:t>
      </w:r>
      <w:hyperlink r:id="rId29" w:history="1">
        <w:r w:rsidRPr="002E6127">
          <w:rPr>
            <w:rStyle w:val="Hyperlink"/>
            <w:rFonts w:ascii="Times New Roman" w:hAnsi="Times New Roman" w:cs="Times New Roman"/>
          </w:rPr>
          <w:t>https://en.wikipedia.org/wiki/List_of_countries_by_GDP_(nominal)_per_capita</w:t>
        </w:r>
      </w:hyperlink>
      <w:r w:rsidRPr="002E6127">
        <w:rPr>
          <w:rFonts w:ascii="Times New Roman" w:hAnsi="Times New Roman" w:cs="Times New Roman"/>
        </w:rPr>
        <w:t xml:space="preserve">.  For the population proportion over 65, see </w:t>
      </w:r>
      <w:hyperlink r:id="rId30" w:history="1">
        <w:r w:rsidRPr="002E6127">
          <w:rPr>
            <w:rStyle w:val="Hyperlink"/>
            <w:rFonts w:ascii="Times New Roman" w:hAnsi="Times New Roman" w:cs="Times New Roman"/>
          </w:rPr>
          <w:t>https://en.wikipedia.org/wiki/List_of_countries_by_age_structure</w:t>
        </w:r>
      </w:hyperlink>
      <w:r w:rsidRPr="002E6127">
        <w:rPr>
          <w:rFonts w:ascii="Times New Roman" w:hAnsi="Times New Roman" w:cs="Times New Roman"/>
        </w:rPr>
        <w:t xml:space="preserve">.  For average household size, see </w:t>
      </w:r>
      <w:hyperlink r:id="rId31" w:history="1">
        <w:r w:rsidRPr="002E6127">
          <w:rPr>
            <w:rStyle w:val="Hyperlink"/>
            <w:rFonts w:ascii="Times New Roman" w:hAnsi="Times New Roman" w:cs="Times New Roman"/>
          </w:rPr>
          <w:t>https://www.un.org/en/development/desa/population/publications/pdf/ageing/household_size_and_composition_around_the_world_2017_data_booklet.pdf</w:t>
        </w:r>
      </w:hyperlink>
      <w:r w:rsidRPr="002E6127">
        <w:rPr>
          <w:rFonts w:ascii="Times New Roman" w:hAnsi="Times New Roman" w:cs="Times New Roman"/>
        </w:rPr>
        <w:t xml:space="preserve">, pp. 20-24, except for Cyprus, which comes from </w:t>
      </w:r>
      <w:hyperlink r:id="rId32" w:anchor="/countries/196" w:history="1">
        <w:r w:rsidRPr="002E6127">
          <w:rPr>
            <w:rStyle w:val="Hyperlink"/>
            <w:rFonts w:ascii="Times New Roman" w:hAnsi="Times New Roman" w:cs="Times New Roman"/>
          </w:rPr>
          <w:t>https://population.un.org/Household/index.html#/countries/196</w:t>
        </w:r>
      </w:hyperlink>
      <w:r w:rsidRPr="002E6127">
        <w:rPr>
          <w:rFonts w:ascii="Times New Roman" w:hAnsi="Times New Roman" w:cs="Times New Roman"/>
        </w:rPr>
        <w:t xml:space="preserve">.  For the number of nursing and elderly home beds per 100,000 of population, see </w:t>
      </w:r>
      <w:hyperlink r:id="rId33" w:history="1">
        <w:r w:rsidRPr="002E6127">
          <w:rPr>
            <w:rStyle w:val="Hyperlink"/>
            <w:rFonts w:ascii="Times New Roman" w:hAnsi="Times New Roman" w:cs="Times New Roman"/>
          </w:rPr>
          <w:t>https://gateway.euro.who.int/en/indicators/hfa_490-5100-nursing-and-elderly-home-beds-per-100-000/</w:t>
        </w:r>
      </w:hyperlink>
      <w:r w:rsidRPr="002E6127">
        <w:rPr>
          <w:rFonts w:ascii="Times New Roman" w:hAnsi="Times New Roman" w:cs="Times New Roman"/>
        </w:rPr>
        <w:t xml:space="preserve">, which does not contain data for Bosnia, Cyprus and Portugal so these numbers were estimated from those for Croatia, Greece and Spain respectively.  </w:t>
      </w:r>
      <w:r>
        <w:rPr>
          <w:rFonts w:ascii="Times New Roman" w:hAnsi="Times New Roman" w:cs="Times New Roman"/>
        </w:rPr>
        <w:t xml:space="preserve">For flu intensity, see Appendix to Hope (2020).  </w:t>
      </w:r>
      <w:r w:rsidRPr="002E6127">
        <w:rPr>
          <w:rFonts w:ascii="Times New Roman" w:hAnsi="Times New Roman" w:cs="Times New Roman"/>
        </w:rPr>
        <w:t xml:space="preserve">The dates of the first deaths come from </w:t>
      </w:r>
      <w:hyperlink r:id="rId34" w:history="1">
        <w:r w:rsidRPr="002E6127">
          <w:rPr>
            <w:rStyle w:val="Hyperlink"/>
            <w:rFonts w:ascii="Times New Roman" w:hAnsi="Times New Roman" w:cs="Times New Roman"/>
          </w:rPr>
          <w:t>https://www.worldometers.info/coronavirus/</w:t>
        </w:r>
      </w:hyperlink>
      <w:r w:rsidRPr="002E6127">
        <w:rPr>
          <w:rFonts w:ascii="Times New Roman" w:hAnsi="Times New Roman" w:cs="Times New Roman"/>
        </w:rPr>
        <w:t>.</w:t>
      </w:r>
    </w:p>
    <w:p w:rsidR="00D520CC" w:rsidRPr="00E21649" w:rsidRDefault="00D520CC" w:rsidP="00804186">
      <w:pPr>
        <w:pStyle w:val="FootnoteText"/>
        <w:rPr>
          <w:lang w:val="en-US"/>
        </w:rPr>
      </w:pPr>
    </w:p>
  </w:footnote>
  <w:footnote w:id="34">
    <w:p w:rsidR="00D520CC" w:rsidRPr="001503D3" w:rsidRDefault="00D520CC" w:rsidP="00804186">
      <w:pPr>
        <w:pStyle w:val="FootnoteText"/>
        <w:jc w:val="both"/>
        <w:rPr>
          <w:rFonts w:ascii="Times New Roman" w:hAnsi="Times New Roman" w:cs="Times New Roman"/>
          <w:lang w:val="en-US"/>
        </w:rPr>
      </w:pPr>
      <w:r w:rsidRPr="001503D3">
        <w:rPr>
          <w:rStyle w:val="FootnoteReference"/>
          <w:rFonts w:ascii="Times New Roman" w:hAnsi="Times New Roman" w:cs="Times New Roman"/>
        </w:rPr>
        <w:footnoteRef/>
      </w:r>
      <w:r w:rsidRPr="001503D3">
        <w:rPr>
          <w:rFonts w:ascii="Times New Roman" w:hAnsi="Times New Roman" w:cs="Times New Roman"/>
        </w:rPr>
        <w:t xml:space="preserve"> </w:t>
      </w:r>
      <w:r w:rsidRPr="001503D3">
        <w:rPr>
          <w:rFonts w:ascii="Times New Roman" w:hAnsi="Times New Roman" w:cs="Times New Roman"/>
          <w:lang w:val="en-US"/>
        </w:rPr>
        <w:t>Higher GDP per capita raises the quality of the health care system</w:t>
      </w:r>
      <w:r>
        <w:rPr>
          <w:rFonts w:ascii="Times New Roman" w:hAnsi="Times New Roman" w:cs="Times New Roman"/>
          <w:lang w:val="en-US"/>
        </w:rPr>
        <w:t>, which lowers the death rate,</w:t>
      </w:r>
      <w:r w:rsidRPr="001503D3">
        <w:rPr>
          <w:rFonts w:ascii="Times New Roman" w:hAnsi="Times New Roman" w:cs="Times New Roman"/>
          <w:lang w:val="en-US"/>
        </w:rPr>
        <w:t xml:space="preserve"> but presumably also the incidence of obesity</w:t>
      </w:r>
      <w:r>
        <w:rPr>
          <w:rFonts w:ascii="Times New Roman" w:hAnsi="Times New Roman" w:cs="Times New Roman"/>
          <w:lang w:val="en-US"/>
        </w:rPr>
        <w:t xml:space="preserve"> </w:t>
      </w:r>
      <w:proofErr w:type="spellStart"/>
      <w:r>
        <w:rPr>
          <w:rFonts w:ascii="Times New Roman" w:hAnsi="Times New Roman" w:cs="Times New Roman"/>
          <w:lang w:val="en-US"/>
        </w:rPr>
        <w:t>etc</w:t>
      </w:r>
      <w:proofErr w:type="spellEnd"/>
      <w:r w:rsidRPr="001503D3">
        <w:rPr>
          <w:rFonts w:ascii="Times New Roman" w:hAnsi="Times New Roman" w:cs="Times New Roman"/>
          <w:lang w:val="en-US"/>
        </w:rPr>
        <w:t>,</w:t>
      </w:r>
      <w:r>
        <w:rPr>
          <w:rFonts w:ascii="Times New Roman" w:hAnsi="Times New Roman" w:cs="Times New Roman"/>
          <w:lang w:val="en-US"/>
        </w:rPr>
        <w:t xml:space="preserve"> which increases the death rate.</w:t>
      </w:r>
    </w:p>
  </w:footnote>
  <w:footnote w:id="35">
    <w:p w:rsidR="00D520CC" w:rsidRDefault="00D520CC" w:rsidP="00804186">
      <w:pPr>
        <w:pStyle w:val="FootnoteText"/>
        <w:jc w:val="both"/>
        <w:rPr>
          <w:rFonts w:ascii="Times New Roman" w:hAnsi="Times New Roman" w:cs="Times New Roman"/>
          <w:lang w:val="en-US"/>
        </w:rPr>
      </w:pPr>
      <w:r w:rsidRPr="00F5629F">
        <w:rPr>
          <w:rStyle w:val="FootnoteReference"/>
          <w:rFonts w:ascii="Times New Roman" w:hAnsi="Times New Roman" w:cs="Times New Roman"/>
        </w:rPr>
        <w:footnoteRef/>
      </w:r>
      <w:r w:rsidRPr="00F5629F">
        <w:rPr>
          <w:rFonts w:ascii="Times New Roman" w:hAnsi="Times New Roman" w:cs="Times New Roman"/>
        </w:rPr>
        <w:t xml:space="preserve"> </w:t>
      </w:r>
      <w:r w:rsidRPr="00F5629F">
        <w:rPr>
          <w:rFonts w:ascii="Times New Roman" w:hAnsi="Times New Roman" w:cs="Times New Roman"/>
          <w:lang w:val="en-US"/>
        </w:rPr>
        <w:t xml:space="preserve">I have </w:t>
      </w:r>
      <w:r>
        <w:rPr>
          <w:rFonts w:ascii="Times New Roman" w:hAnsi="Times New Roman" w:cs="Times New Roman"/>
          <w:lang w:val="en-US"/>
        </w:rPr>
        <w:t xml:space="preserve">not </w:t>
      </w:r>
      <w:r w:rsidRPr="00F5629F">
        <w:rPr>
          <w:rFonts w:ascii="Times New Roman" w:hAnsi="Times New Roman" w:cs="Times New Roman"/>
          <w:lang w:val="en-US"/>
        </w:rPr>
        <w:t xml:space="preserve">proffered a death rate for type B countries under extreme lockdown because it is not required in the analysis, but it would be lower than for type </w:t>
      </w:r>
      <w:proofErr w:type="gramStart"/>
      <w:r w:rsidRPr="00F5629F">
        <w:rPr>
          <w:rFonts w:ascii="Times New Roman" w:hAnsi="Times New Roman" w:cs="Times New Roman"/>
          <w:lang w:val="en-US"/>
        </w:rPr>
        <w:t>A</w:t>
      </w:r>
      <w:proofErr w:type="gramEnd"/>
      <w:r w:rsidRPr="00F5629F">
        <w:rPr>
          <w:rFonts w:ascii="Times New Roman" w:hAnsi="Times New Roman" w:cs="Times New Roman"/>
          <w:lang w:val="en-US"/>
        </w:rPr>
        <w:t xml:space="preserve"> countries.</w:t>
      </w:r>
    </w:p>
    <w:p w:rsidR="00D520CC" w:rsidRPr="00F5629F" w:rsidRDefault="00D520CC" w:rsidP="00804186">
      <w:pPr>
        <w:pStyle w:val="FootnoteText"/>
        <w:jc w:val="both"/>
        <w:rPr>
          <w:rFonts w:ascii="Times New Roman" w:hAnsi="Times New Roman" w:cs="Times New Roman"/>
          <w:lang w:val="en-US"/>
        </w:rPr>
      </w:pPr>
    </w:p>
  </w:footnote>
  <w:footnote w:id="36">
    <w:p w:rsidR="00D520CC" w:rsidRPr="008A15B9" w:rsidRDefault="00D520CC" w:rsidP="00F32B44">
      <w:pPr>
        <w:pStyle w:val="FootnoteText"/>
        <w:jc w:val="both"/>
        <w:rPr>
          <w:rFonts w:ascii="Times New Roman" w:hAnsi="Times New Roman" w:cs="Times New Roman"/>
          <w:lang w:val="en-US"/>
        </w:rPr>
      </w:pPr>
      <w:r w:rsidRPr="008A15B9">
        <w:rPr>
          <w:rStyle w:val="FootnoteReference"/>
          <w:rFonts w:ascii="Times New Roman" w:hAnsi="Times New Roman" w:cs="Times New Roman"/>
        </w:rPr>
        <w:footnoteRef/>
      </w:r>
      <w:r w:rsidRPr="008A15B9">
        <w:rPr>
          <w:rFonts w:ascii="Times New Roman" w:hAnsi="Times New Roman" w:cs="Times New Roman"/>
        </w:rPr>
        <w:t xml:space="preserve"> </w:t>
      </w:r>
      <w:r w:rsidRPr="008A15B9">
        <w:rPr>
          <w:rFonts w:ascii="Times New Roman" w:hAnsi="Times New Roman" w:cs="Times New Roman"/>
          <w:lang w:val="en-US"/>
        </w:rPr>
        <w:t xml:space="preserve">See for example </w:t>
      </w:r>
      <w:hyperlink r:id="rId35" w:history="1">
        <w:r w:rsidRPr="008A15B9">
          <w:rPr>
            <w:rStyle w:val="Hyperlink"/>
            <w:rFonts w:ascii="Times New Roman" w:hAnsi="Times New Roman" w:cs="Times New Roman"/>
            <w:lang w:val="en-US"/>
          </w:rPr>
          <w:t>https://thehill.com/opinion/healthcare/489962-what-if-the-sky-is-falling-coronavirus-models-are-simply-wrong</w:t>
        </w:r>
      </w:hyperlink>
      <w:r w:rsidRPr="008A15B9">
        <w:rPr>
          <w:rFonts w:ascii="Times New Roman" w:hAnsi="Times New Roman" w:cs="Times New Roman"/>
          <w:lang w:val="en-US"/>
        </w:rPr>
        <w:t>.</w:t>
      </w:r>
    </w:p>
    <w:p w:rsidR="00D520CC" w:rsidRPr="00F32B44" w:rsidRDefault="00D520CC">
      <w:pPr>
        <w:pStyle w:val="FootnoteText"/>
        <w:rPr>
          <w:lang w:val="en-US"/>
        </w:rPr>
      </w:pPr>
      <w:r>
        <w:rPr>
          <w:lang w:val="en-US"/>
        </w:rPr>
        <w:t xml:space="preserve"> </w:t>
      </w:r>
    </w:p>
  </w:footnote>
  <w:footnote w:id="37">
    <w:p w:rsidR="00D520CC" w:rsidRPr="002B2040" w:rsidRDefault="00D520CC" w:rsidP="00F15B87">
      <w:pPr>
        <w:pStyle w:val="FootnoteText"/>
        <w:jc w:val="both"/>
        <w:rPr>
          <w:rFonts w:ascii="Times New Roman" w:hAnsi="Times New Roman" w:cs="Times New Roman"/>
          <w:lang w:val="en-US"/>
        </w:rPr>
      </w:pPr>
      <w:r w:rsidRPr="002B2040">
        <w:rPr>
          <w:rStyle w:val="FootnoteReference"/>
          <w:rFonts w:ascii="Times New Roman" w:hAnsi="Times New Roman" w:cs="Times New Roman"/>
        </w:rPr>
        <w:footnoteRef/>
      </w:r>
      <w:r w:rsidRPr="002B2040">
        <w:rPr>
          <w:rFonts w:ascii="Times New Roman" w:hAnsi="Times New Roman" w:cs="Times New Roman"/>
        </w:rPr>
        <w:t xml:space="preserve"> </w:t>
      </w:r>
      <w:r w:rsidRPr="002B2040">
        <w:rPr>
          <w:rFonts w:ascii="Times New Roman" w:hAnsi="Times New Roman" w:cs="Times New Roman"/>
          <w:lang w:val="en-US"/>
        </w:rPr>
        <w:t>For the formula, see Johnston (1972, page 153).</w:t>
      </w:r>
      <w:r>
        <w:rPr>
          <w:rFonts w:ascii="Times New Roman" w:hAnsi="Times New Roman" w:cs="Times New Roman"/>
          <w:lang w:val="en-US"/>
        </w:rPr>
        <w:t xml:space="preserve">  Repetition of this process using data on 12 August would have yielded the lower figure of 62 per 1m.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CC" w:rsidRDefault="00D52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CC" w:rsidRDefault="00D520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CC" w:rsidRDefault="00D52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7732"/>
    <w:multiLevelType w:val="hybridMultilevel"/>
    <w:tmpl w:val="340AE0C0"/>
    <w:lvl w:ilvl="0" w:tplc="BF00E5D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2014969"/>
    <w:multiLevelType w:val="hybridMultilevel"/>
    <w:tmpl w:val="A170B732"/>
    <w:lvl w:ilvl="0" w:tplc="717621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4EC45A0"/>
    <w:multiLevelType w:val="hybridMultilevel"/>
    <w:tmpl w:val="F006C732"/>
    <w:lvl w:ilvl="0" w:tplc="A038129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7F36695"/>
    <w:multiLevelType w:val="hybridMultilevel"/>
    <w:tmpl w:val="A41E8796"/>
    <w:lvl w:ilvl="0" w:tplc="967A2DF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69DE46E0"/>
    <w:multiLevelType w:val="hybridMultilevel"/>
    <w:tmpl w:val="FC340BEA"/>
    <w:lvl w:ilvl="0" w:tplc="EC588FD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72D92D94"/>
    <w:multiLevelType w:val="hybridMultilevel"/>
    <w:tmpl w:val="AF90B7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9B"/>
    <w:rsid w:val="000002C0"/>
    <w:rsid w:val="00001BFC"/>
    <w:rsid w:val="000022AA"/>
    <w:rsid w:val="000028D2"/>
    <w:rsid w:val="000032A2"/>
    <w:rsid w:val="00003651"/>
    <w:rsid w:val="00003B6D"/>
    <w:rsid w:val="00004068"/>
    <w:rsid w:val="000057D9"/>
    <w:rsid w:val="000071E2"/>
    <w:rsid w:val="000100E5"/>
    <w:rsid w:val="00010396"/>
    <w:rsid w:val="00010CD7"/>
    <w:rsid w:val="00010F18"/>
    <w:rsid w:val="00011DA5"/>
    <w:rsid w:val="00014085"/>
    <w:rsid w:val="000144CB"/>
    <w:rsid w:val="00015B59"/>
    <w:rsid w:val="00016108"/>
    <w:rsid w:val="00016C97"/>
    <w:rsid w:val="00016E1D"/>
    <w:rsid w:val="000171DA"/>
    <w:rsid w:val="0002026C"/>
    <w:rsid w:val="00021F3C"/>
    <w:rsid w:val="00022317"/>
    <w:rsid w:val="00023C1D"/>
    <w:rsid w:val="000242CB"/>
    <w:rsid w:val="00025585"/>
    <w:rsid w:val="00027073"/>
    <w:rsid w:val="000277FE"/>
    <w:rsid w:val="00027879"/>
    <w:rsid w:val="00030B9F"/>
    <w:rsid w:val="00031879"/>
    <w:rsid w:val="000327E5"/>
    <w:rsid w:val="00033833"/>
    <w:rsid w:val="00033DF9"/>
    <w:rsid w:val="00033F04"/>
    <w:rsid w:val="00035EC2"/>
    <w:rsid w:val="00036A37"/>
    <w:rsid w:val="00037A0C"/>
    <w:rsid w:val="00040391"/>
    <w:rsid w:val="00040D45"/>
    <w:rsid w:val="000418D1"/>
    <w:rsid w:val="00042D6A"/>
    <w:rsid w:val="000436BA"/>
    <w:rsid w:val="0004444E"/>
    <w:rsid w:val="00045511"/>
    <w:rsid w:val="00045F88"/>
    <w:rsid w:val="00047EBF"/>
    <w:rsid w:val="00050EA3"/>
    <w:rsid w:val="000517E1"/>
    <w:rsid w:val="00051C64"/>
    <w:rsid w:val="00052778"/>
    <w:rsid w:val="000535B1"/>
    <w:rsid w:val="00053B21"/>
    <w:rsid w:val="00054A9C"/>
    <w:rsid w:val="000567B9"/>
    <w:rsid w:val="00056B6E"/>
    <w:rsid w:val="000578B5"/>
    <w:rsid w:val="00057AF4"/>
    <w:rsid w:val="000605BA"/>
    <w:rsid w:val="0006164B"/>
    <w:rsid w:val="000616A9"/>
    <w:rsid w:val="00062FEF"/>
    <w:rsid w:val="00064923"/>
    <w:rsid w:val="000666CB"/>
    <w:rsid w:val="000674E2"/>
    <w:rsid w:val="000705BE"/>
    <w:rsid w:val="000712B8"/>
    <w:rsid w:val="0007183E"/>
    <w:rsid w:val="000718D5"/>
    <w:rsid w:val="00071EBC"/>
    <w:rsid w:val="00071FB6"/>
    <w:rsid w:val="0007373B"/>
    <w:rsid w:val="0007395F"/>
    <w:rsid w:val="000745DF"/>
    <w:rsid w:val="00074BFA"/>
    <w:rsid w:val="000755B4"/>
    <w:rsid w:val="00075FDF"/>
    <w:rsid w:val="000769B0"/>
    <w:rsid w:val="00076AB2"/>
    <w:rsid w:val="00080A48"/>
    <w:rsid w:val="00081374"/>
    <w:rsid w:val="000815C5"/>
    <w:rsid w:val="0008394C"/>
    <w:rsid w:val="00084046"/>
    <w:rsid w:val="00085F70"/>
    <w:rsid w:val="00086EAA"/>
    <w:rsid w:val="00087D0E"/>
    <w:rsid w:val="000901AC"/>
    <w:rsid w:val="00091374"/>
    <w:rsid w:val="000917B6"/>
    <w:rsid w:val="0009208A"/>
    <w:rsid w:val="00093186"/>
    <w:rsid w:val="000936F8"/>
    <w:rsid w:val="00093813"/>
    <w:rsid w:val="00094A06"/>
    <w:rsid w:val="000965E4"/>
    <w:rsid w:val="000966B0"/>
    <w:rsid w:val="000967E2"/>
    <w:rsid w:val="00096877"/>
    <w:rsid w:val="00097347"/>
    <w:rsid w:val="000A06B5"/>
    <w:rsid w:val="000A1FA4"/>
    <w:rsid w:val="000A32D9"/>
    <w:rsid w:val="000A3B9F"/>
    <w:rsid w:val="000A3F72"/>
    <w:rsid w:val="000A430E"/>
    <w:rsid w:val="000A4AF6"/>
    <w:rsid w:val="000A7761"/>
    <w:rsid w:val="000A7EAA"/>
    <w:rsid w:val="000B01CC"/>
    <w:rsid w:val="000B0659"/>
    <w:rsid w:val="000B06BD"/>
    <w:rsid w:val="000B0822"/>
    <w:rsid w:val="000B1851"/>
    <w:rsid w:val="000B2E82"/>
    <w:rsid w:val="000B42E6"/>
    <w:rsid w:val="000B42F8"/>
    <w:rsid w:val="000B4307"/>
    <w:rsid w:val="000B558A"/>
    <w:rsid w:val="000B55F2"/>
    <w:rsid w:val="000B62AC"/>
    <w:rsid w:val="000B7E7F"/>
    <w:rsid w:val="000C1EC7"/>
    <w:rsid w:val="000C2188"/>
    <w:rsid w:val="000C2C3E"/>
    <w:rsid w:val="000C3135"/>
    <w:rsid w:val="000C3405"/>
    <w:rsid w:val="000C38D8"/>
    <w:rsid w:val="000C3958"/>
    <w:rsid w:val="000C4556"/>
    <w:rsid w:val="000C4719"/>
    <w:rsid w:val="000C47C0"/>
    <w:rsid w:val="000C51FD"/>
    <w:rsid w:val="000C5911"/>
    <w:rsid w:val="000C615D"/>
    <w:rsid w:val="000C64AB"/>
    <w:rsid w:val="000C7A59"/>
    <w:rsid w:val="000C7A8E"/>
    <w:rsid w:val="000D0B8C"/>
    <w:rsid w:val="000D1F5B"/>
    <w:rsid w:val="000D3485"/>
    <w:rsid w:val="000D4CD4"/>
    <w:rsid w:val="000D4D0A"/>
    <w:rsid w:val="000D4FF4"/>
    <w:rsid w:val="000D6775"/>
    <w:rsid w:val="000E05BC"/>
    <w:rsid w:val="000E1E76"/>
    <w:rsid w:val="000E2A5F"/>
    <w:rsid w:val="000E3C5F"/>
    <w:rsid w:val="000E684C"/>
    <w:rsid w:val="000F0A6A"/>
    <w:rsid w:val="000F155D"/>
    <w:rsid w:val="000F27A9"/>
    <w:rsid w:val="000F342F"/>
    <w:rsid w:val="000F3DEF"/>
    <w:rsid w:val="000F4E5C"/>
    <w:rsid w:val="000F56F2"/>
    <w:rsid w:val="0010038B"/>
    <w:rsid w:val="0010062D"/>
    <w:rsid w:val="001019A2"/>
    <w:rsid w:val="001028C2"/>
    <w:rsid w:val="0010408A"/>
    <w:rsid w:val="00104643"/>
    <w:rsid w:val="00105F45"/>
    <w:rsid w:val="00106B43"/>
    <w:rsid w:val="0010710B"/>
    <w:rsid w:val="001075E6"/>
    <w:rsid w:val="00110493"/>
    <w:rsid w:val="00111A06"/>
    <w:rsid w:val="00111AC5"/>
    <w:rsid w:val="00111BAA"/>
    <w:rsid w:val="00113C0D"/>
    <w:rsid w:val="001140E0"/>
    <w:rsid w:val="00114C3A"/>
    <w:rsid w:val="001155A4"/>
    <w:rsid w:val="00115AB3"/>
    <w:rsid w:val="00115F31"/>
    <w:rsid w:val="00116F29"/>
    <w:rsid w:val="00117682"/>
    <w:rsid w:val="00120FE2"/>
    <w:rsid w:val="00122B53"/>
    <w:rsid w:val="00122EFF"/>
    <w:rsid w:val="00123B78"/>
    <w:rsid w:val="00123D01"/>
    <w:rsid w:val="00124B51"/>
    <w:rsid w:val="00125844"/>
    <w:rsid w:val="00126D78"/>
    <w:rsid w:val="00127068"/>
    <w:rsid w:val="001305F6"/>
    <w:rsid w:val="00130F6D"/>
    <w:rsid w:val="0013118C"/>
    <w:rsid w:val="00132FE7"/>
    <w:rsid w:val="001333AE"/>
    <w:rsid w:val="00133624"/>
    <w:rsid w:val="001338B4"/>
    <w:rsid w:val="00135B10"/>
    <w:rsid w:val="00136F01"/>
    <w:rsid w:val="00137A6B"/>
    <w:rsid w:val="00137DE5"/>
    <w:rsid w:val="00142556"/>
    <w:rsid w:val="001442A2"/>
    <w:rsid w:val="0014485A"/>
    <w:rsid w:val="00144904"/>
    <w:rsid w:val="00144DAC"/>
    <w:rsid w:val="001456CA"/>
    <w:rsid w:val="001461CA"/>
    <w:rsid w:val="00147BD2"/>
    <w:rsid w:val="001503D3"/>
    <w:rsid w:val="00150FDF"/>
    <w:rsid w:val="00151DC8"/>
    <w:rsid w:val="001526BF"/>
    <w:rsid w:val="00156B6B"/>
    <w:rsid w:val="001570F3"/>
    <w:rsid w:val="0016058B"/>
    <w:rsid w:val="0016087D"/>
    <w:rsid w:val="00160BFD"/>
    <w:rsid w:val="00161B2A"/>
    <w:rsid w:val="00162FE9"/>
    <w:rsid w:val="00163795"/>
    <w:rsid w:val="001649D3"/>
    <w:rsid w:val="00166CA9"/>
    <w:rsid w:val="00167A1B"/>
    <w:rsid w:val="00167D91"/>
    <w:rsid w:val="00171453"/>
    <w:rsid w:val="001726BF"/>
    <w:rsid w:val="0017346C"/>
    <w:rsid w:val="00173A7D"/>
    <w:rsid w:val="00173EBD"/>
    <w:rsid w:val="00174212"/>
    <w:rsid w:val="00174C27"/>
    <w:rsid w:val="001768C4"/>
    <w:rsid w:val="00176D58"/>
    <w:rsid w:val="00176DD8"/>
    <w:rsid w:val="00177662"/>
    <w:rsid w:val="00177EC1"/>
    <w:rsid w:val="00181C38"/>
    <w:rsid w:val="001836C7"/>
    <w:rsid w:val="00186168"/>
    <w:rsid w:val="00187417"/>
    <w:rsid w:val="001903FD"/>
    <w:rsid w:val="00190AA4"/>
    <w:rsid w:val="00192591"/>
    <w:rsid w:val="001928ED"/>
    <w:rsid w:val="00193288"/>
    <w:rsid w:val="00193535"/>
    <w:rsid w:val="00194008"/>
    <w:rsid w:val="0019498F"/>
    <w:rsid w:val="0019560F"/>
    <w:rsid w:val="001957CB"/>
    <w:rsid w:val="00195A36"/>
    <w:rsid w:val="00196269"/>
    <w:rsid w:val="00196659"/>
    <w:rsid w:val="001A016E"/>
    <w:rsid w:val="001A0B6C"/>
    <w:rsid w:val="001A0C5B"/>
    <w:rsid w:val="001A16FE"/>
    <w:rsid w:val="001A1B0F"/>
    <w:rsid w:val="001A1B55"/>
    <w:rsid w:val="001A1BC4"/>
    <w:rsid w:val="001A2AB6"/>
    <w:rsid w:val="001A2EA0"/>
    <w:rsid w:val="001A3420"/>
    <w:rsid w:val="001A44F1"/>
    <w:rsid w:val="001A503A"/>
    <w:rsid w:val="001A6B28"/>
    <w:rsid w:val="001B3DE9"/>
    <w:rsid w:val="001B61ED"/>
    <w:rsid w:val="001B6B76"/>
    <w:rsid w:val="001B7932"/>
    <w:rsid w:val="001C077F"/>
    <w:rsid w:val="001C0DA1"/>
    <w:rsid w:val="001C0EF7"/>
    <w:rsid w:val="001C1391"/>
    <w:rsid w:val="001C25F4"/>
    <w:rsid w:val="001C2AC2"/>
    <w:rsid w:val="001C4A9D"/>
    <w:rsid w:val="001C5A5F"/>
    <w:rsid w:val="001C5E11"/>
    <w:rsid w:val="001C6983"/>
    <w:rsid w:val="001D07F4"/>
    <w:rsid w:val="001D0E29"/>
    <w:rsid w:val="001D0FEF"/>
    <w:rsid w:val="001D17CF"/>
    <w:rsid w:val="001D1A4A"/>
    <w:rsid w:val="001D1E12"/>
    <w:rsid w:val="001D1F82"/>
    <w:rsid w:val="001D2B4C"/>
    <w:rsid w:val="001D2DF5"/>
    <w:rsid w:val="001D2F5C"/>
    <w:rsid w:val="001D3038"/>
    <w:rsid w:val="001D33B6"/>
    <w:rsid w:val="001D3A2D"/>
    <w:rsid w:val="001D3F20"/>
    <w:rsid w:val="001D57D8"/>
    <w:rsid w:val="001D66E3"/>
    <w:rsid w:val="001D6920"/>
    <w:rsid w:val="001D7EB5"/>
    <w:rsid w:val="001E06C2"/>
    <w:rsid w:val="001E0C79"/>
    <w:rsid w:val="001E1744"/>
    <w:rsid w:val="001E4050"/>
    <w:rsid w:val="001E4B6B"/>
    <w:rsid w:val="001E56AE"/>
    <w:rsid w:val="001E6B92"/>
    <w:rsid w:val="001E710A"/>
    <w:rsid w:val="001E7311"/>
    <w:rsid w:val="001E7F96"/>
    <w:rsid w:val="001F1B7B"/>
    <w:rsid w:val="001F2388"/>
    <w:rsid w:val="001F3518"/>
    <w:rsid w:val="001F3569"/>
    <w:rsid w:val="001F3C01"/>
    <w:rsid w:val="001F4178"/>
    <w:rsid w:val="001F47ED"/>
    <w:rsid w:val="001F4E72"/>
    <w:rsid w:val="001F647B"/>
    <w:rsid w:val="001F770B"/>
    <w:rsid w:val="001F77C8"/>
    <w:rsid w:val="001F7D42"/>
    <w:rsid w:val="0020189B"/>
    <w:rsid w:val="002031BC"/>
    <w:rsid w:val="00204317"/>
    <w:rsid w:val="002051C0"/>
    <w:rsid w:val="002066B2"/>
    <w:rsid w:val="002078E1"/>
    <w:rsid w:val="0021004F"/>
    <w:rsid w:val="0021015E"/>
    <w:rsid w:val="00210222"/>
    <w:rsid w:val="00210317"/>
    <w:rsid w:val="0021078B"/>
    <w:rsid w:val="0021306A"/>
    <w:rsid w:val="00214F10"/>
    <w:rsid w:val="002150D3"/>
    <w:rsid w:val="00215751"/>
    <w:rsid w:val="0021576C"/>
    <w:rsid w:val="00215A46"/>
    <w:rsid w:val="00215B4D"/>
    <w:rsid w:val="002168EE"/>
    <w:rsid w:val="00217DD4"/>
    <w:rsid w:val="00220445"/>
    <w:rsid w:val="0022064B"/>
    <w:rsid w:val="0022070F"/>
    <w:rsid w:val="002208B3"/>
    <w:rsid w:val="00220D32"/>
    <w:rsid w:val="00220E30"/>
    <w:rsid w:val="00221082"/>
    <w:rsid w:val="002215D0"/>
    <w:rsid w:val="00221812"/>
    <w:rsid w:val="00221EC1"/>
    <w:rsid w:val="002221C0"/>
    <w:rsid w:val="0022390D"/>
    <w:rsid w:val="00223D3E"/>
    <w:rsid w:val="0022538E"/>
    <w:rsid w:val="00225538"/>
    <w:rsid w:val="00225B89"/>
    <w:rsid w:val="0022760E"/>
    <w:rsid w:val="00227F62"/>
    <w:rsid w:val="00230AD6"/>
    <w:rsid w:val="00231536"/>
    <w:rsid w:val="00232859"/>
    <w:rsid w:val="00232CF9"/>
    <w:rsid w:val="0023307D"/>
    <w:rsid w:val="002335CC"/>
    <w:rsid w:val="00234440"/>
    <w:rsid w:val="00234A20"/>
    <w:rsid w:val="00235318"/>
    <w:rsid w:val="00235A1E"/>
    <w:rsid w:val="00236619"/>
    <w:rsid w:val="00236626"/>
    <w:rsid w:val="00236972"/>
    <w:rsid w:val="002369A7"/>
    <w:rsid w:val="002406FC"/>
    <w:rsid w:val="00241C9A"/>
    <w:rsid w:val="00241D74"/>
    <w:rsid w:val="00241EE9"/>
    <w:rsid w:val="00241F80"/>
    <w:rsid w:val="00242C7C"/>
    <w:rsid w:val="00244851"/>
    <w:rsid w:val="002449B2"/>
    <w:rsid w:val="00244D5D"/>
    <w:rsid w:val="00245903"/>
    <w:rsid w:val="00246123"/>
    <w:rsid w:val="00246706"/>
    <w:rsid w:val="00247616"/>
    <w:rsid w:val="002504CC"/>
    <w:rsid w:val="00250E0D"/>
    <w:rsid w:val="00251B1A"/>
    <w:rsid w:val="002522D1"/>
    <w:rsid w:val="00252515"/>
    <w:rsid w:val="00255966"/>
    <w:rsid w:val="00255A09"/>
    <w:rsid w:val="00256707"/>
    <w:rsid w:val="00257BE8"/>
    <w:rsid w:val="00260B0D"/>
    <w:rsid w:val="00261A82"/>
    <w:rsid w:val="00261EF4"/>
    <w:rsid w:val="002624A3"/>
    <w:rsid w:val="00262515"/>
    <w:rsid w:val="002636F7"/>
    <w:rsid w:val="00264D1B"/>
    <w:rsid w:val="00264F74"/>
    <w:rsid w:val="002651D3"/>
    <w:rsid w:val="00265737"/>
    <w:rsid w:val="002665E7"/>
    <w:rsid w:val="00266FB2"/>
    <w:rsid w:val="0026714C"/>
    <w:rsid w:val="002676A1"/>
    <w:rsid w:val="00267FBA"/>
    <w:rsid w:val="00270076"/>
    <w:rsid w:val="00270347"/>
    <w:rsid w:val="002711AC"/>
    <w:rsid w:val="00271FD8"/>
    <w:rsid w:val="00271FE0"/>
    <w:rsid w:val="0027317B"/>
    <w:rsid w:val="00273199"/>
    <w:rsid w:val="00273960"/>
    <w:rsid w:val="00275B70"/>
    <w:rsid w:val="002770DB"/>
    <w:rsid w:val="00277905"/>
    <w:rsid w:val="00277AD0"/>
    <w:rsid w:val="0028130C"/>
    <w:rsid w:val="0028234A"/>
    <w:rsid w:val="002831C0"/>
    <w:rsid w:val="00283A6D"/>
    <w:rsid w:val="00283F0A"/>
    <w:rsid w:val="0028470C"/>
    <w:rsid w:val="00285333"/>
    <w:rsid w:val="00285C26"/>
    <w:rsid w:val="00286619"/>
    <w:rsid w:val="0028731B"/>
    <w:rsid w:val="00287C50"/>
    <w:rsid w:val="00290C98"/>
    <w:rsid w:val="00291313"/>
    <w:rsid w:val="00291891"/>
    <w:rsid w:val="00291954"/>
    <w:rsid w:val="00292096"/>
    <w:rsid w:val="00292791"/>
    <w:rsid w:val="00293516"/>
    <w:rsid w:val="00294CE7"/>
    <w:rsid w:val="00294EFC"/>
    <w:rsid w:val="00295229"/>
    <w:rsid w:val="002969C5"/>
    <w:rsid w:val="002A0459"/>
    <w:rsid w:val="002A04AB"/>
    <w:rsid w:val="002A0AAD"/>
    <w:rsid w:val="002A160D"/>
    <w:rsid w:val="002A27E9"/>
    <w:rsid w:val="002A4206"/>
    <w:rsid w:val="002A44B7"/>
    <w:rsid w:val="002A52C9"/>
    <w:rsid w:val="002A5C09"/>
    <w:rsid w:val="002A5F4D"/>
    <w:rsid w:val="002B0290"/>
    <w:rsid w:val="002B0478"/>
    <w:rsid w:val="002B1D88"/>
    <w:rsid w:val="002B2040"/>
    <w:rsid w:val="002B3208"/>
    <w:rsid w:val="002B3FC4"/>
    <w:rsid w:val="002B461A"/>
    <w:rsid w:val="002B66E0"/>
    <w:rsid w:val="002B6B21"/>
    <w:rsid w:val="002C09D2"/>
    <w:rsid w:val="002C1C62"/>
    <w:rsid w:val="002C260D"/>
    <w:rsid w:val="002C2A84"/>
    <w:rsid w:val="002C34F8"/>
    <w:rsid w:val="002C4146"/>
    <w:rsid w:val="002C4279"/>
    <w:rsid w:val="002C46DC"/>
    <w:rsid w:val="002C58A3"/>
    <w:rsid w:val="002C64F0"/>
    <w:rsid w:val="002C6C77"/>
    <w:rsid w:val="002C7052"/>
    <w:rsid w:val="002C7FBE"/>
    <w:rsid w:val="002D03E7"/>
    <w:rsid w:val="002D106E"/>
    <w:rsid w:val="002D12E8"/>
    <w:rsid w:val="002D1469"/>
    <w:rsid w:val="002D2625"/>
    <w:rsid w:val="002D2816"/>
    <w:rsid w:val="002D2E5E"/>
    <w:rsid w:val="002E00EF"/>
    <w:rsid w:val="002E0F26"/>
    <w:rsid w:val="002E2295"/>
    <w:rsid w:val="002E2B17"/>
    <w:rsid w:val="002E2B45"/>
    <w:rsid w:val="002E2EF1"/>
    <w:rsid w:val="002E3C8F"/>
    <w:rsid w:val="002E496D"/>
    <w:rsid w:val="002E4BCB"/>
    <w:rsid w:val="002E50D2"/>
    <w:rsid w:val="002E5A66"/>
    <w:rsid w:val="002E5A84"/>
    <w:rsid w:val="002E5F0A"/>
    <w:rsid w:val="002E6127"/>
    <w:rsid w:val="002E6351"/>
    <w:rsid w:val="002E6A44"/>
    <w:rsid w:val="002E6E73"/>
    <w:rsid w:val="002E7835"/>
    <w:rsid w:val="002F0822"/>
    <w:rsid w:val="002F1220"/>
    <w:rsid w:val="002F23E3"/>
    <w:rsid w:val="002F2B02"/>
    <w:rsid w:val="002F3831"/>
    <w:rsid w:val="002F538D"/>
    <w:rsid w:val="002F671A"/>
    <w:rsid w:val="002F6B88"/>
    <w:rsid w:val="0030266B"/>
    <w:rsid w:val="00302C0A"/>
    <w:rsid w:val="00302EC7"/>
    <w:rsid w:val="00302F80"/>
    <w:rsid w:val="00303839"/>
    <w:rsid w:val="00303DE9"/>
    <w:rsid w:val="003047CF"/>
    <w:rsid w:val="00305A34"/>
    <w:rsid w:val="00306205"/>
    <w:rsid w:val="0030708F"/>
    <w:rsid w:val="003070E8"/>
    <w:rsid w:val="00307E39"/>
    <w:rsid w:val="00310309"/>
    <w:rsid w:val="00311921"/>
    <w:rsid w:val="00314515"/>
    <w:rsid w:val="00314904"/>
    <w:rsid w:val="003151C7"/>
    <w:rsid w:val="00315DE0"/>
    <w:rsid w:val="0031731F"/>
    <w:rsid w:val="00320232"/>
    <w:rsid w:val="003216DD"/>
    <w:rsid w:val="00321F0F"/>
    <w:rsid w:val="003223B0"/>
    <w:rsid w:val="00323A83"/>
    <w:rsid w:val="00323A94"/>
    <w:rsid w:val="0032591C"/>
    <w:rsid w:val="00325E89"/>
    <w:rsid w:val="003261C8"/>
    <w:rsid w:val="00330DDB"/>
    <w:rsid w:val="0033146C"/>
    <w:rsid w:val="00331711"/>
    <w:rsid w:val="00332C17"/>
    <w:rsid w:val="0033361D"/>
    <w:rsid w:val="00334005"/>
    <w:rsid w:val="00335DB8"/>
    <w:rsid w:val="0033799C"/>
    <w:rsid w:val="003410AF"/>
    <w:rsid w:val="00342393"/>
    <w:rsid w:val="003431F5"/>
    <w:rsid w:val="00344A0A"/>
    <w:rsid w:val="00345066"/>
    <w:rsid w:val="00345DD3"/>
    <w:rsid w:val="00345FEA"/>
    <w:rsid w:val="00346255"/>
    <w:rsid w:val="00346790"/>
    <w:rsid w:val="00347634"/>
    <w:rsid w:val="00350D00"/>
    <w:rsid w:val="00352516"/>
    <w:rsid w:val="00354E62"/>
    <w:rsid w:val="00356515"/>
    <w:rsid w:val="00357E21"/>
    <w:rsid w:val="003605D3"/>
    <w:rsid w:val="00360833"/>
    <w:rsid w:val="00360842"/>
    <w:rsid w:val="00360A87"/>
    <w:rsid w:val="00361EA3"/>
    <w:rsid w:val="003626D7"/>
    <w:rsid w:val="003640B6"/>
    <w:rsid w:val="0036522F"/>
    <w:rsid w:val="00365358"/>
    <w:rsid w:val="003656FE"/>
    <w:rsid w:val="00366097"/>
    <w:rsid w:val="00366E9A"/>
    <w:rsid w:val="0037022B"/>
    <w:rsid w:val="00371FC9"/>
    <w:rsid w:val="00372B31"/>
    <w:rsid w:val="003730C6"/>
    <w:rsid w:val="003735C1"/>
    <w:rsid w:val="00374A2A"/>
    <w:rsid w:val="00374D07"/>
    <w:rsid w:val="003750BA"/>
    <w:rsid w:val="00380174"/>
    <w:rsid w:val="003804EA"/>
    <w:rsid w:val="003819DF"/>
    <w:rsid w:val="00383250"/>
    <w:rsid w:val="00385C10"/>
    <w:rsid w:val="00385C48"/>
    <w:rsid w:val="003861A3"/>
    <w:rsid w:val="003869F3"/>
    <w:rsid w:val="00387F04"/>
    <w:rsid w:val="00392737"/>
    <w:rsid w:val="00392750"/>
    <w:rsid w:val="00394BDF"/>
    <w:rsid w:val="00395D26"/>
    <w:rsid w:val="003965E8"/>
    <w:rsid w:val="003968DC"/>
    <w:rsid w:val="003972D6"/>
    <w:rsid w:val="00397537"/>
    <w:rsid w:val="00397558"/>
    <w:rsid w:val="003A04FA"/>
    <w:rsid w:val="003A2488"/>
    <w:rsid w:val="003A2A3D"/>
    <w:rsid w:val="003A40B4"/>
    <w:rsid w:val="003A433C"/>
    <w:rsid w:val="003A4B39"/>
    <w:rsid w:val="003A51E9"/>
    <w:rsid w:val="003A5438"/>
    <w:rsid w:val="003A636E"/>
    <w:rsid w:val="003A7292"/>
    <w:rsid w:val="003A79A4"/>
    <w:rsid w:val="003B0C3A"/>
    <w:rsid w:val="003B0D3C"/>
    <w:rsid w:val="003B178C"/>
    <w:rsid w:val="003B2239"/>
    <w:rsid w:val="003B3F39"/>
    <w:rsid w:val="003B515D"/>
    <w:rsid w:val="003B5D99"/>
    <w:rsid w:val="003B6C77"/>
    <w:rsid w:val="003B6E4C"/>
    <w:rsid w:val="003B758A"/>
    <w:rsid w:val="003C1123"/>
    <w:rsid w:val="003C2B12"/>
    <w:rsid w:val="003C4046"/>
    <w:rsid w:val="003C4429"/>
    <w:rsid w:val="003C4777"/>
    <w:rsid w:val="003C4781"/>
    <w:rsid w:val="003C4BFE"/>
    <w:rsid w:val="003C52D7"/>
    <w:rsid w:val="003C55D7"/>
    <w:rsid w:val="003C5E70"/>
    <w:rsid w:val="003C67E7"/>
    <w:rsid w:val="003C70A9"/>
    <w:rsid w:val="003C7E62"/>
    <w:rsid w:val="003C7F3F"/>
    <w:rsid w:val="003D0457"/>
    <w:rsid w:val="003D0CE5"/>
    <w:rsid w:val="003D11BD"/>
    <w:rsid w:val="003D31B3"/>
    <w:rsid w:val="003D3C78"/>
    <w:rsid w:val="003D3D36"/>
    <w:rsid w:val="003D51C3"/>
    <w:rsid w:val="003D5532"/>
    <w:rsid w:val="003D6535"/>
    <w:rsid w:val="003D6D39"/>
    <w:rsid w:val="003D7502"/>
    <w:rsid w:val="003D7B36"/>
    <w:rsid w:val="003E0C04"/>
    <w:rsid w:val="003E0CE3"/>
    <w:rsid w:val="003E0E9D"/>
    <w:rsid w:val="003E0F0C"/>
    <w:rsid w:val="003E1C25"/>
    <w:rsid w:val="003E2A37"/>
    <w:rsid w:val="003E2D30"/>
    <w:rsid w:val="003E384A"/>
    <w:rsid w:val="003E3B2F"/>
    <w:rsid w:val="003E42A7"/>
    <w:rsid w:val="003E4C4F"/>
    <w:rsid w:val="003E4D81"/>
    <w:rsid w:val="003E5430"/>
    <w:rsid w:val="003E59F4"/>
    <w:rsid w:val="003E7555"/>
    <w:rsid w:val="003E780A"/>
    <w:rsid w:val="003F09A9"/>
    <w:rsid w:val="003F0C81"/>
    <w:rsid w:val="003F1306"/>
    <w:rsid w:val="003F136A"/>
    <w:rsid w:val="003F159A"/>
    <w:rsid w:val="003F229F"/>
    <w:rsid w:val="003F2B21"/>
    <w:rsid w:val="003F34D6"/>
    <w:rsid w:val="003F360F"/>
    <w:rsid w:val="003F4F1E"/>
    <w:rsid w:val="003F59BA"/>
    <w:rsid w:val="003F62EC"/>
    <w:rsid w:val="003F6FE3"/>
    <w:rsid w:val="003F737A"/>
    <w:rsid w:val="00400515"/>
    <w:rsid w:val="00400906"/>
    <w:rsid w:val="00403657"/>
    <w:rsid w:val="0040396F"/>
    <w:rsid w:val="00403E51"/>
    <w:rsid w:val="00404A73"/>
    <w:rsid w:val="004051C6"/>
    <w:rsid w:val="00405D3F"/>
    <w:rsid w:val="00405FFF"/>
    <w:rsid w:val="004063A5"/>
    <w:rsid w:val="004069A9"/>
    <w:rsid w:val="0040733E"/>
    <w:rsid w:val="004117BB"/>
    <w:rsid w:val="00411D12"/>
    <w:rsid w:val="00411F12"/>
    <w:rsid w:val="00411FB5"/>
    <w:rsid w:val="00412284"/>
    <w:rsid w:val="00414744"/>
    <w:rsid w:val="00414FE4"/>
    <w:rsid w:val="004153A4"/>
    <w:rsid w:val="00415414"/>
    <w:rsid w:val="00415C47"/>
    <w:rsid w:val="00415EB9"/>
    <w:rsid w:val="00416438"/>
    <w:rsid w:val="004169FF"/>
    <w:rsid w:val="00417038"/>
    <w:rsid w:val="00417986"/>
    <w:rsid w:val="004201EC"/>
    <w:rsid w:val="00420346"/>
    <w:rsid w:val="004255D0"/>
    <w:rsid w:val="00426DE2"/>
    <w:rsid w:val="0043034D"/>
    <w:rsid w:val="004309DB"/>
    <w:rsid w:val="004315D2"/>
    <w:rsid w:val="00432A9D"/>
    <w:rsid w:val="00433218"/>
    <w:rsid w:val="00433A83"/>
    <w:rsid w:val="00433F4A"/>
    <w:rsid w:val="004348F5"/>
    <w:rsid w:val="00435106"/>
    <w:rsid w:val="004362C4"/>
    <w:rsid w:val="00436A8F"/>
    <w:rsid w:val="00437AB0"/>
    <w:rsid w:val="00437B53"/>
    <w:rsid w:val="00437D29"/>
    <w:rsid w:val="00440D29"/>
    <w:rsid w:val="00441800"/>
    <w:rsid w:val="00442B3C"/>
    <w:rsid w:val="00444501"/>
    <w:rsid w:val="004445CA"/>
    <w:rsid w:val="0044555D"/>
    <w:rsid w:val="004457A1"/>
    <w:rsid w:val="00445F76"/>
    <w:rsid w:val="004460D7"/>
    <w:rsid w:val="00446C32"/>
    <w:rsid w:val="00450204"/>
    <w:rsid w:val="0045093B"/>
    <w:rsid w:val="00451FD5"/>
    <w:rsid w:val="004529AF"/>
    <w:rsid w:val="00453111"/>
    <w:rsid w:val="00453DD9"/>
    <w:rsid w:val="004545B9"/>
    <w:rsid w:val="004561CB"/>
    <w:rsid w:val="004569E5"/>
    <w:rsid w:val="00457479"/>
    <w:rsid w:val="004575C3"/>
    <w:rsid w:val="0045780C"/>
    <w:rsid w:val="004603AD"/>
    <w:rsid w:val="004609FF"/>
    <w:rsid w:val="0046118D"/>
    <w:rsid w:val="00461961"/>
    <w:rsid w:val="00462BD4"/>
    <w:rsid w:val="0046333C"/>
    <w:rsid w:val="00464C22"/>
    <w:rsid w:val="0046570F"/>
    <w:rsid w:val="00466034"/>
    <w:rsid w:val="0046666A"/>
    <w:rsid w:val="004667F1"/>
    <w:rsid w:val="00466DE6"/>
    <w:rsid w:val="004672D2"/>
    <w:rsid w:val="0046770A"/>
    <w:rsid w:val="00467DF2"/>
    <w:rsid w:val="00470221"/>
    <w:rsid w:val="004703FD"/>
    <w:rsid w:val="00471327"/>
    <w:rsid w:val="00471800"/>
    <w:rsid w:val="00471A42"/>
    <w:rsid w:val="004726C9"/>
    <w:rsid w:val="00472A2E"/>
    <w:rsid w:val="00472FC4"/>
    <w:rsid w:val="00472FF3"/>
    <w:rsid w:val="00474CF0"/>
    <w:rsid w:val="004759B3"/>
    <w:rsid w:val="0047614C"/>
    <w:rsid w:val="004764B4"/>
    <w:rsid w:val="00477DEF"/>
    <w:rsid w:val="004801E9"/>
    <w:rsid w:val="004805AB"/>
    <w:rsid w:val="00481AD1"/>
    <w:rsid w:val="00482C21"/>
    <w:rsid w:val="0048571F"/>
    <w:rsid w:val="00485B52"/>
    <w:rsid w:val="0048733D"/>
    <w:rsid w:val="00487B29"/>
    <w:rsid w:val="00487CFE"/>
    <w:rsid w:val="00487F4E"/>
    <w:rsid w:val="00487F74"/>
    <w:rsid w:val="00490593"/>
    <w:rsid w:val="004941FC"/>
    <w:rsid w:val="00495518"/>
    <w:rsid w:val="0049708F"/>
    <w:rsid w:val="0049717F"/>
    <w:rsid w:val="004A13A7"/>
    <w:rsid w:val="004A1C7C"/>
    <w:rsid w:val="004A2DCD"/>
    <w:rsid w:val="004A357D"/>
    <w:rsid w:val="004A36E7"/>
    <w:rsid w:val="004A3D98"/>
    <w:rsid w:val="004A5A1A"/>
    <w:rsid w:val="004A5AC7"/>
    <w:rsid w:val="004A5F10"/>
    <w:rsid w:val="004A6B3F"/>
    <w:rsid w:val="004A6D03"/>
    <w:rsid w:val="004A7234"/>
    <w:rsid w:val="004B0502"/>
    <w:rsid w:val="004B08C4"/>
    <w:rsid w:val="004B1499"/>
    <w:rsid w:val="004B173A"/>
    <w:rsid w:val="004B2266"/>
    <w:rsid w:val="004B3B0C"/>
    <w:rsid w:val="004B3B46"/>
    <w:rsid w:val="004B51CA"/>
    <w:rsid w:val="004B566A"/>
    <w:rsid w:val="004B67D0"/>
    <w:rsid w:val="004B752E"/>
    <w:rsid w:val="004C0DD8"/>
    <w:rsid w:val="004C13A8"/>
    <w:rsid w:val="004C1A33"/>
    <w:rsid w:val="004C2A87"/>
    <w:rsid w:val="004C31EC"/>
    <w:rsid w:val="004C36B2"/>
    <w:rsid w:val="004C411F"/>
    <w:rsid w:val="004C4142"/>
    <w:rsid w:val="004C4197"/>
    <w:rsid w:val="004C4EFC"/>
    <w:rsid w:val="004C7A18"/>
    <w:rsid w:val="004D01F6"/>
    <w:rsid w:val="004D1132"/>
    <w:rsid w:val="004D1AE1"/>
    <w:rsid w:val="004D1F27"/>
    <w:rsid w:val="004D38FA"/>
    <w:rsid w:val="004D4989"/>
    <w:rsid w:val="004D5073"/>
    <w:rsid w:val="004D7473"/>
    <w:rsid w:val="004D7584"/>
    <w:rsid w:val="004E08E7"/>
    <w:rsid w:val="004E0EEA"/>
    <w:rsid w:val="004E0F9D"/>
    <w:rsid w:val="004E10F4"/>
    <w:rsid w:val="004E376B"/>
    <w:rsid w:val="004E3B68"/>
    <w:rsid w:val="004E3E7E"/>
    <w:rsid w:val="004E494F"/>
    <w:rsid w:val="004E60E2"/>
    <w:rsid w:val="004E619B"/>
    <w:rsid w:val="004E692C"/>
    <w:rsid w:val="004E6AA6"/>
    <w:rsid w:val="004F14E2"/>
    <w:rsid w:val="004F19C8"/>
    <w:rsid w:val="004F1F4C"/>
    <w:rsid w:val="004F3E3D"/>
    <w:rsid w:val="004F4911"/>
    <w:rsid w:val="004F7C54"/>
    <w:rsid w:val="00501255"/>
    <w:rsid w:val="00503CE0"/>
    <w:rsid w:val="00504EC7"/>
    <w:rsid w:val="0050562A"/>
    <w:rsid w:val="005074BA"/>
    <w:rsid w:val="00507B53"/>
    <w:rsid w:val="00507E8A"/>
    <w:rsid w:val="00507E8F"/>
    <w:rsid w:val="00510654"/>
    <w:rsid w:val="005107B9"/>
    <w:rsid w:val="00510CEA"/>
    <w:rsid w:val="0051498B"/>
    <w:rsid w:val="00515505"/>
    <w:rsid w:val="005155F6"/>
    <w:rsid w:val="00515D1B"/>
    <w:rsid w:val="005160B2"/>
    <w:rsid w:val="00516211"/>
    <w:rsid w:val="005166A7"/>
    <w:rsid w:val="0051747F"/>
    <w:rsid w:val="00520100"/>
    <w:rsid w:val="00520170"/>
    <w:rsid w:val="0052039F"/>
    <w:rsid w:val="00521136"/>
    <w:rsid w:val="00522A46"/>
    <w:rsid w:val="0052397F"/>
    <w:rsid w:val="00524FDD"/>
    <w:rsid w:val="00526424"/>
    <w:rsid w:val="00527692"/>
    <w:rsid w:val="005318E5"/>
    <w:rsid w:val="00531F8A"/>
    <w:rsid w:val="005324BA"/>
    <w:rsid w:val="00532D21"/>
    <w:rsid w:val="00535478"/>
    <w:rsid w:val="00535803"/>
    <w:rsid w:val="005365EA"/>
    <w:rsid w:val="0053669E"/>
    <w:rsid w:val="00536731"/>
    <w:rsid w:val="00537084"/>
    <w:rsid w:val="005377AC"/>
    <w:rsid w:val="00540030"/>
    <w:rsid w:val="00540234"/>
    <w:rsid w:val="0054089D"/>
    <w:rsid w:val="00542403"/>
    <w:rsid w:val="005441F1"/>
    <w:rsid w:val="00545DBD"/>
    <w:rsid w:val="00545E52"/>
    <w:rsid w:val="00546B8C"/>
    <w:rsid w:val="00550024"/>
    <w:rsid w:val="005508A1"/>
    <w:rsid w:val="005511DD"/>
    <w:rsid w:val="00551233"/>
    <w:rsid w:val="00551495"/>
    <w:rsid w:val="00551D56"/>
    <w:rsid w:val="005525CF"/>
    <w:rsid w:val="005529D5"/>
    <w:rsid w:val="00552FD3"/>
    <w:rsid w:val="00553023"/>
    <w:rsid w:val="0055421A"/>
    <w:rsid w:val="005549E2"/>
    <w:rsid w:val="0055532D"/>
    <w:rsid w:val="00555A74"/>
    <w:rsid w:val="00555B60"/>
    <w:rsid w:val="00556163"/>
    <w:rsid w:val="00556C45"/>
    <w:rsid w:val="00560015"/>
    <w:rsid w:val="00563310"/>
    <w:rsid w:val="00563762"/>
    <w:rsid w:val="0056491F"/>
    <w:rsid w:val="0056571B"/>
    <w:rsid w:val="0056606C"/>
    <w:rsid w:val="00566A9F"/>
    <w:rsid w:val="00574B10"/>
    <w:rsid w:val="005751BB"/>
    <w:rsid w:val="00576010"/>
    <w:rsid w:val="00576077"/>
    <w:rsid w:val="00576D20"/>
    <w:rsid w:val="005772BA"/>
    <w:rsid w:val="00577EA1"/>
    <w:rsid w:val="00580158"/>
    <w:rsid w:val="005802A8"/>
    <w:rsid w:val="00580AF7"/>
    <w:rsid w:val="00581011"/>
    <w:rsid w:val="005810FD"/>
    <w:rsid w:val="0058265B"/>
    <w:rsid w:val="005837AE"/>
    <w:rsid w:val="0058429A"/>
    <w:rsid w:val="0058465C"/>
    <w:rsid w:val="0058494A"/>
    <w:rsid w:val="00585B9E"/>
    <w:rsid w:val="0058624B"/>
    <w:rsid w:val="005879EA"/>
    <w:rsid w:val="00587B76"/>
    <w:rsid w:val="00587DE8"/>
    <w:rsid w:val="005929AF"/>
    <w:rsid w:val="00592DEB"/>
    <w:rsid w:val="0059421B"/>
    <w:rsid w:val="0059527B"/>
    <w:rsid w:val="00595334"/>
    <w:rsid w:val="005957BE"/>
    <w:rsid w:val="00595810"/>
    <w:rsid w:val="00595CD5"/>
    <w:rsid w:val="005A1082"/>
    <w:rsid w:val="005A113A"/>
    <w:rsid w:val="005A2F50"/>
    <w:rsid w:val="005A3D59"/>
    <w:rsid w:val="005A45AB"/>
    <w:rsid w:val="005A5862"/>
    <w:rsid w:val="005A5E53"/>
    <w:rsid w:val="005A61E9"/>
    <w:rsid w:val="005A7947"/>
    <w:rsid w:val="005A7AF0"/>
    <w:rsid w:val="005B0E4E"/>
    <w:rsid w:val="005B17E3"/>
    <w:rsid w:val="005B2412"/>
    <w:rsid w:val="005B26AE"/>
    <w:rsid w:val="005B281C"/>
    <w:rsid w:val="005B28AD"/>
    <w:rsid w:val="005B3708"/>
    <w:rsid w:val="005B38EB"/>
    <w:rsid w:val="005B3E59"/>
    <w:rsid w:val="005B4AD1"/>
    <w:rsid w:val="005B557E"/>
    <w:rsid w:val="005B5662"/>
    <w:rsid w:val="005B5F44"/>
    <w:rsid w:val="005B69A9"/>
    <w:rsid w:val="005B7191"/>
    <w:rsid w:val="005C0A27"/>
    <w:rsid w:val="005C1C3E"/>
    <w:rsid w:val="005C210C"/>
    <w:rsid w:val="005C2484"/>
    <w:rsid w:val="005C2E09"/>
    <w:rsid w:val="005C4587"/>
    <w:rsid w:val="005C4BBA"/>
    <w:rsid w:val="005C50BA"/>
    <w:rsid w:val="005C6E80"/>
    <w:rsid w:val="005C79D9"/>
    <w:rsid w:val="005D0110"/>
    <w:rsid w:val="005D14D5"/>
    <w:rsid w:val="005D1B32"/>
    <w:rsid w:val="005D1BCC"/>
    <w:rsid w:val="005D2BE1"/>
    <w:rsid w:val="005D5020"/>
    <w:rsid w:val="005D5BDD"/>
    <w:rsid w:val="005D5EB8"/>
    <w:rsid w:val="005D6140"/>
    <w:rsid w:val="005D6E12"/>
    <w:rsid w:val="005D72F3"/>
    <w:rsid w:val="005E1E74"/>
    <w:rsid w:val="005E3F53"/>
    <w:rsid w:val="005E4237"/>
    <w:rsid w:val="005E524B"/>
    <w:rsid w:val="005F09AB"/>
    <w:rsid w:val="005F11E1"/>
    <w:rsid w:val="005F18C2"/>
    <w:rsid w:val="005F1BA1"/>
    <w:rsid w:val="005F2523"/>
    <w:rsid w:val="005F66E8"/>
    <w:rsid w:val="00600119"/>
    <w:rsid w:val="00602C86"/>
    <w:rsid w:val="00603D6F"/>
    <w:rsid w:val="00605196"/>
    <w:rsid w:val="00605281"/>
    <w:rsid w:val="00605D84"/>
    <w:rsid w:val="00605D9F"/>
    <w:rsid w:val="006069FB"/>
    <w:rsid w:val="00606AA4"/>
    <w:rsid w:val="006074DD"/>
    <w:rsid w:val="006115D7"/>
    <w:rsid w:val="006118F8"/>
    <w:rsid w:val="00615890"/>
    <w:rsid w:val="00615E68"/>
    <w:rsid w:val="00616B24"/>
    <w:rsid w:val="00616B98"/>
    <w:rsid w:val="006177C3"/>
    <w:rsid w:val="006202A8"/>
    <w:rsid w:val="006209B4"/>
    <w:rsid w:val="00620F2D"/>
    <w:rsid w:val="0062222F"/>
    <w:rsid w:val="0062325B"/>
    <w:rsid w:val="00623CCB"/>
    <w:rsid w:val="00623E81"/>
    <w:rsid w:val="00624484"/>
    <w:rsid w:val="00624A03"/>
    <w:rsid w:val="00625519"/>
    <w:rsid w:val="006263D7"/>
    <w:rsid w:val="006275B7"/>
    <w:rsid w:val="00627616"/>
    <w:rsid w:val="0063010C"/>
    <w:rsid w:val="00632BCE"/>
    <w:rsid w:val="00633F93"/>
    <w:rsid w:val="006343F7"/>
    <w:rsid w:val="00634FAE"/>
    <w:rsid w:val="00635E2F"/>
    <w:rsid w:val="00636CB5"/>
    <w:rsid w:val="00636EFF"/>
    <w:rsid w:val="0064066B"/>
    <w:rsid w:val="00641673"/>
    <w:rsid w:val="0064299B"/>
    <w:rsid w:val="00642DA2"/>
    <w:rsid w:val="006435A5"/>
    <w:rsid w:val="00644B28"/>
    <w:rsid w:val="00644DF6"/>
    <w:rsid w:val="0064573A"/>
    <w:rsid w:val="006457E4"/>
    <w:rsid w:val="0064649F"/>
    <w:rsid w:val="006467D0"/>
    <w:rsid w:val="00647245"/>
    <w:rsid w:val="00650723"/>
    <w:rsid w:val="00650DD9"/>
    <w:rsid w:val="0065100A"/>
    <w:rsid w:val="00651543"/>
    <w:rsid w:val="00651FC7"/>
    <w:rsid w:val="00652562"/>
    <w:rsid w:val="00653073"/>
    <w:rsid w:val="0065386D"/>
    <w:rsid w:val="00653EA2"/>
    <w:rsid w:val="00655285"/>
    <w:rsid w:val="006567C6"/>
    <w:rsid w:val="006600D7"/>
    <w:rsid w:val="006606B3"/>
    <w:rsid w:val="00661B21"/>
    <w:rsid w:val="00661F5B"/>
    <w:rsid w:val="0066299C"/>
    <w:rsid w:val="00662C8F"/>
    <w:rsid w:val="00663373"/>
    <w:rsid w:val="0066490D"/>
    <w:rsid w:val="006655AB"/>
    <w:rsid w:val="006658D8"/>
    <w:rsid w:val="00665A28"/>
    <w:rsid w:val="00665B6F"/>
    <w:rsid w:val="006667E2"/>
    <w:rsid w:val="00666E3D"/>
    <w:rsid w:val="0066737A"/>
    <w:rsid w:val="00667D9E"/>
    <w:rsid w:val="006725B7"/>
    <w:rsid w:val="00674581"/>
    <w:rsid w:val="006750FB"/>
    <w:rsid w:val="00676026"/>
    <w:rsid w:val="00676BB6"/>
    <w:rsid w:val="006771F7"/>
    <w:rsid w:val="0068127D"/>
    <w:rsid w:val="00682F38"/>
    <w:rsid w:val="00683063"/>
    <w:rsid w:val="00683601"/>
    <w:rsid w:val="0068713B"/>
    <w:rsid w:val="00687803"/>
    <w:rsid w:val="00692A2A"/>
    <w:rsid w:val="0069344D"/>
    <w:rsid w:val="00693718"/>
    <w:rsid w:val="006947C3"/>
    <w:rsid w:val="00694DC5"/>
    <w:rsid w:val="006958C7"/>
    <w:rsid w:val="00697722"/>
    <w:rsid w:val="00697A56"/>
    <w:rsid w:val="00697E23"/>
    <w:rsid w:val="006A1F1B"/>
    <w:rsid w:val="006A3405"/>
    <w:rsid w:val="006A3894"/>
    <w:rsid w:val="006A3C09"/>
    <w:rsid w:val="006A3D32"/>
    <w:rsid w:val="006A486E"/>
    <w:rsid w:val="006A4B2A"/>
    <w:rsid w:val="006A4FC3"/>
    <w:rsid w:val="006A791A"/>
    <w:rsid w:val="006B016A"/>
    <w:rsid w:val="006B05BA"/>
    <w:rsid w:val="006B2F3B"/>
    <w:rsid w:val="006B2F70"/>
    <w:rsid w:val="006B310E"/>
    <w:rsid w:val="006B34C6"/>
    <w:rsid w:val="006B3F43"/>
    <w:rsid w:val="006B6626"/>
    <w:rsid w:val="006B6E5D"/>
    <w:rsid w:val="006B6FF6"/>
    <w:rsid w:val="006B77F3"/>
    <w:rsid w:val="006C0DBA"/>
    <w:rsid w:val="006C25BB"/>
    <w:rsid w:val="006C4C40"/>
    <w:rsid w:val="006C4D69"/>
    <w:rsid w:val="006C52FE"/>
    <w:rsid w:val="006C714F"/>
    <w:rsid w:val="006D007C"/>
    <w:rsid w:val="006D1199"/>
    <w:rsid w:val="006D151B"/>
    <w:rsid w:val="006D1694"/>
    <w:rsid w:val="006D1872"/>
    <w:rsid w:val="006D2278"/>
    <w:rsid w:val="006D22D1"/>
    <w:rsid w:val="006D3970"/>
    <w:rsid w:val="006D547A"/>
    <w:rsid w:val="006D5F0A"/>
    <w:rsid w:val="006D75D4"/>
    <w:rsid w:val="006E07F3"/>
    <w:rsid w:val="006E0F3F"/>
    <w:rsid w:val="006E122E"/>
    <w:rsid w:val="006E1286"/>
    <w:rsid w:val="006E1C8C"/>
    <w:rsid w:val="006E2B05"/>
    <w:rsid w:val="006E2E6D"/>
    <w:rsid w:val="006E309A"/>
    <w:rsid w:val="006E34EC"/>
    <w:rsid w:val="006E3923"/>
    <w:rsid w:val="006E4DBA"/>
    <w:rsid w:val="006E5086"/>
    <w:rsid w:val="006E5DCA"/>
    <w:rsid w:val="006E6929"/>
    <w:rsid w:val="006E6F06"/>
    <w:rsid w:val="006E7111"/>
    <w:rsid w:val="006E7120"/>
    <w:rsid w:val="006E76A7"/>
    <w:rsid w:val="006F00F7"/>
    <w:rsid w:val="006F1343"/>
    <w:rsid w:val="006F19ED"/>
    <w:rsid w:val="006F1AF4"/>
    <w:rsid w:val="006F20D5"/>
    <w:rsid w:val="006F225F"/>
    <w:rsid w:val="006F26F5"/>
    <w:rsid w:val="006F28BB"/>
    <w:rsid w:val="006F686D"/>
    <w:rsid w:val="006F6D2D"/>
    <w:rsid w:val="006F7319"/>
    <w:rsid w:val="0070002A"/>
    <w:rsid w:val="007009CE"/>
    <w:rsid w:val="007018BB"/>
    <w:rsid w:val="0070198F"/>
    <w:rsid w:val="007021B7"/>
    <w:rsid w:val="00702C5A"/>
    <w:rsid w:val="00703124"/>
    <w:rsid w:val="00703420"/>
    <w:rsid w:val="00703634"/>
    <w:rsid w:val="00706AEE"/>
    <w:rsid w:val="00707CDB"/>
    <w:rsid w:val="00707E59"/>
    <w:rsid w:val="00710B66"/>
    <w:rsid w:val="00711329"/>
    <w:rsid w:val="0071161C"/>
    <w:rsid w:val="0071185E"/>
    <w:rsid w:val="0071348A"/>
    <w:rsid w:val="007139E1"/>
    <w:rsid w:val="00715046"/>
    <w:rsid w:val="00717ECF"/>
    <w:rsid w:val="0072125B"/>
    <w:rsid w:val="00721334"/>
    <w:rsid w:val="00721E09"/>
    <w:rsid w:val="007220C0"/>
    <w:rsid w:val="007241C5"/>
    <w:rsid w:val="00725513"/>
    <w:rsid w:val="0072607E"/>
    <w:rsid w:val="00726B2D"/>
    <w:rsid w:val="007278A6"/>
    <w:rsid w:val="007302D3"/>
    <w:rsid w:val="00731BDE"/>
    <w:rsid w:val="007329DE"/>
    <w:rsid w:val="00732BC9"/>
    <w:rsid w:val="00735C7D"/>
    <w:rsid w:val="007362FF"/>
    <w:rsid w:val="00736668"/>
    <w:rsid w:val="007369C0"/>
    <w:rsid w:val="00736B37"/>
    <w:rsid w:val="00737866"/>
    <w:rsid w:val="00737922"/>
    <w:rsid w:val="00737960"/>
    <w:rsid w:val="00741043"/>
    <w:rsid w:val="00742314"/>
    <w:rsid w:val="00742570"/>
    <w:rsid w:val="00742CA4"/>
    <w:rsid w:val="00743346"/>
    <w:rsid w:val="0074432E"/>
    <w:rsid w:val="0074465E"/>
    <w:rsid w:val="00744AB2"/>
    <w:rsid w:val="00744FAE"/>
    <w:rsid w:val="00745868"/>
    <w:rsid w:val="00745F41"/>
    <w:rsid w:val="00746389"/>
    <w:rsid w:val="0075112A"/>
    <w:rsid w:val="00751E50"/>
    <w:rsid w:val="00752DB4"/>
    <w:rsid w:val="0075300F"/>
    <w:rsid w:val="00755A19"/>
    <w:rsid w:val="00756582"/>
    <w:rsid w:val="00756FFF"/>
    <w:rsid w:val="00757D95"/>
    <w:rsid w:val="0076047F"/>
    <w:rsid w:val="007609FE"/>
    <w:rsid w:val="00761BAB"/>
    <w:rsid w:val="00762CE4"/>
    <w:rsid w:val="0076331C"/>
    <w:rsid w:val="007637E0"/>
    <w:rsid w:val="0076442F"/>
    <w:rsid w:val="007646A0"/>
    <w:rsid w:val="00765FF2"/>
    <w:rsid w:val="00766362"/>
    <w:rsid w:val="007674DD"/>
    <w:rsid w:val="00767CA0"/>
    <w:rsid w:val="00770904"/>
    <w:rsid w:val="00770CDF"/>
    <w:rsid w:val="00771266"/>
    <w:rsid w:val="007726DF"/>
    <w:rsid w:val="00772FFF"/>
    <w:rsid w:val="007742A7"/>
    <w:rsid w:val="0077477F"/>
    <w:rsid w:val="0077490E"/>
    <w:rsid w:val="00775B54"/>
    <w:rsid w:val="00777401"/>
    <w:rsid w:val="0077756F"/>
    <w:rsid w:val="00780D7B"/>
    <w:rsid w:val="00781B1D"/>
    <w:rsid w:val="00782347"/>
    <w:rsid w:val="00783826"/>
    <w:rsid w:val="00785027"/>
    <w:rsid w:val="0078572A"/>
    <w:rsid w:val="00787608"/>
    <w:rsid w:val="00787772"/>
    <w:rsid w:val="00790D9D"/>
    <w:rsid w:val="00791AFC"/>
    <w:rsid w:val="00793EF9"/>
    <w:rsid w:val="0079416F"/>
    <w:rsid w:val="00794DA5"/>
    <w:rsid w:val="00794EA4"/>
    <w:rsid w:val="007959DE"/>
    <w:rsid w:val="00795B57"/>
    <w:rsid w:val="00797107"/>
    <w:rsid w:val="00797C6C"/>
    <w:rsid w:val="00797C88"/>
    <w:rsid w:val="007A1FC0"/>
    <w:rsid w:val="007A3550"/>
    <w:rsid w:val="007A4412"/>
    <w:rsid w:val="007A638A"/>
    <w:rsid w:val="007A65D9"/>
    <w:rsid w:val="007A6A5C"/>
    <w:rsid w:val="007A7A16"/>
    <w:rsid w:val="007A7A8B"/>
    <w:rsid w:val="007B0399"/>
    <w:rsid w:val="007B0C65"/>
    <w:rsid w:val="007B243A"/>
    <w:rsid w:val="007B285D"/>
    <w:rsid w:val="007B2E79"/>
    <w:rsid w:val="007B3DA8"/>
    <w:rsid w:val="007B408E"/>
    <w:rsid w:val="007B60AD"/>
    <w:rsid w:val="007B7CE3"/>
    <w:rsid w:val="007C0022"/>
    <w:rsid w:val="007C033B"/>
    <w:rsid w:val="007C0371"/>
    <w:rsid w:val="007C109B"/>
    <w:rsid w:val="007C128C"/>
    <w:rsid w:val="007C1685"/>
    <w:rsid w:val="007C1C59"/>
    <w:rsid w:val="007C2521"/>
    <w:rsid w:val="007C27CD"/>
    <w:rsid w:val="007C30E0"/>
    <w:rsid w:val="007C3127"/>
    <w:rsid w:val="007C3463"/>
    <w:rsid w:val="007C3C5B"/>
    <w:rsid w:val="007C53F3"/>
    <w:rsid w:val="007C5A10"/>
    <w:rsid w:val="007C62AB"/>
    <w:rsid w:val="007C678B"/>
    <w:rsid w:val="007C69DF"/>
    <w:rsid w:val="007C7183"/>
    <w:rsid w:val="007C7363"/>
    <w:rsid w:val="007C7706"/>
    <w:rsid w:val="007D084A"/>
    <w:rsid w:val="007D1F79"/>
    <w:rsid w:val="007D3853"/>
    <w:rsid w:val="007D396C"/>
    <w:rsid w:val="007D53CC"/>
    <w:rsid w:val="007D65F4"/>
    <w:rsid w:val="007D72B8"/>
    <w:rsid w:val="007D734D"/>
    <w:rsid w:val="007D788E"/>
    <w:rsid w:val="007E0786"/>
    <w:rsid w:val="007E3264"/>
    <w:rsid w:val="007E4F5A"/>
    <w:rsid w:val="007E5997"/>
    <w:rsid w:val="007E5B6D"/>
    <w:rsid w:val="007E5ECB"/>
    <w:rsid w:val="007E6113"/>
    <w:rsid w:val="007E6425"/>
    <w:rsid w:val="007E65D8"/>
    <w:rsid w:val="007E6608"/>
    <w:rsid w:val="007E7E60"/>
    <w:rsid w:val="007F0C4D"/>
    <w:rsid w:val="007F112C"/>
    <w:rsid w:val="007F12EB"/>
    <w:rsid w:val="007F165B"/>
    <w:rsid w:val="007F189A"/>
    <w:rsid w:val="007F3269"/>
    <w:rsid w:val="007F3DE0"/>
    <w:rsid w:val="007F3F84"/>
    <w:rsid w:val="007F62DD"/>
    <w:rsid w:val="007F74B2"/>
    <w:rsid w:val="00800352"/>
    <w:rsid w:val="00800AFC"/>
    <w:rsid w:val="00801C2B"/>
    <w:rsid w:val="0080321D"/>
    <w:rsid w:val="00803BAB"/>
    <w:rsid w:val="00803E6A"/>
    <w:rsid w:val="00804186"/>
    <w:rsid w:val="0080638E"/>
    <w:rsid w:val="00806D19"/>
    <w:rsid w:val="00807947"/>
    <w:rsid w:val="00810911"/>
    <w:rsid w:val="00810E51"/>
    <w:rsid w:val="008116FC"/>
    <w:rsid w:val="00812754"/>
    <w:rsid w:val="00813BDD"/>
    <w:rsid w:val="00813EF0"/>
    <w:rsid w:val="00813FF2"/>
    <w:rsid w:val="008146C4"/>
    <w:rsid w:val="00814F26"/>
    <w:rsid w:val="0081524D"/>
    <w:rsid w:val="0081575A"/>
    <w:rsid w:val="0081643E"/>
    <w:rsid w:val="008167A2"/>
    <w:rsid w:val="00817F0C"/>
    <w:rsid w:val="008228BE"/>
    <w:rsid w:val="00822B3E"/>
    <w:rsid w:val="00822FD8"/>
    <w:rsid w:val="008231F0"/>
    <w:rsid w:val="00823577"/>
    <w:rsid w:val="00823729"/>
    <w:rsid w:val="008238D4"/>
    <w:rsid w:val="0082452E"/>
    <w:rsid w:val="00824913"/>
    <w:rsid w:val="00825F0D"/>
    <w:rsid w:val="0082666F"/>
    <w:rsid w:val="00826DDE"/>
    <w:rsid w:val="00826E7B"/>
    <w:rsid w:val="00831A49"/>
    <w:rsid w:val="00831A89"/>
    <w:rsid w:val="00832A4B"/>
    <w:rsid w:val="008332F1"/>
    <w:rsid w:val="008344C0"/>
    <w:rsid w:val="008349C7"/>
    <w:rsid w:val="00836867"/>
    <w:rsid w:val="00836882"/>
    <w:rsid w:val="00837A84"/>
    <w:rsid w:val="00840D9A"/>
    <w:rsid w:val="00841628"/>
    <w:rsid w:val="00842BE4"/>
    <w:rsid w:val="00844C8C"/>
    <w:rsid w:val="00845E38"/>
    <w:rsid w:val="00845EE7"/>
    <w:rsid w:val="00846BEB"/>
    <w:rsid w:val="00846DA0"/>
    <w:rsid w:val="00846FDB"/>
    <w:rsid w:val="0084792E"/>
    <w:rsid w:val="00847937"/>
    <w:rsid w:val="00847DB7"/>
    <w:rsid w:val="00850674"/>
    <w:rsid w:val="008545F8"/>
    <w:rsid w:val="008553BE"/>
    <w:rsid w:val="00855405"/>
    <w:rsid w:val="00856A1C"/>
    <w:rsid w:val="00856CF4"/>
    <w:rsid w:val="008575A7"/>
    <w:rsid w:val="0085776F"/>
    <w:rsid w:val="00857D87"/>
    <w:rsid w:val="0086248C"/>
    <w:rsid w:val="00863127"/>
    <w:rsid w:val="00863D5D"/>
    <w:rsid w:val="008665FA"/>
    <w:rsid w:val="00867BA9"/>
    <w:rsid w:val="0087007B"/>
    <w:rsid w:val="008714F1"/>
    <w:rsid w:val="008716F0"/>
    <w:rsid w:val="00874328"/>
    <w:rsid w:val="00874C01"/>
    <w:rsid w:val="008756B0"/>
    <w:rsid w:val="00880AAF"/>
    <w:rsid w:val="00881C4F"/>
    <w:rsid w:val="00882A78"/>
    <w:rsid w:val="00882FCA"/>
    <w:rsid w:val="00883BF7"/>
    <w:rsid w:val="00886CF8"/>
    <w:rsid w:val="0088791E"/>
    <w:rsid w:val="0088799B"/>
    <w:rsid w:val="00890692"/>
    <w:rsid w:val="008912FB"/>
    <w:rsid w:val="0089256D"/>
    <w:rsid w:val="0089317C"/>
    <w:rsid w:val="00893248"/>
    <w:rsid w:val="00893843"/>
    <w:rsid w:val="008947BF"/>
    <w:rsid w:val="00894A5F"/>
    <w:rsid w:val="00895254"/>
    <w:rsid w:val="00895929"/>
    <w:rsid w:val="00896C2F"/>
    <w:rsid w:val="00897F30"/>
    <w:rsid w:val="008A09F2"/>
    <w:rsid w:val="008A0F4F"/>
    <w:rsid w:val="008A11DC"/>
    <w:rsid w:val="008A15B9"/>
    <w:rsid w:val="008A1864"/>
    <w:rsid w:val="008A27A3"/>
    <w:rsid w:val="008A2CBD"/>
    <w:rsid w:val="008A2E7B"/>
    <w:rsid w:val="008A30D3"/>
    <w:rsid w:val="008A313A"/>
    <w:rsid w:val="008A57EE"/>
    <w:rsid w:val="008A60C7"/>
    <w:rsid w:val="008A6113"/>
    <w:rsid w:val="008A6362"/>
    <w:rsid w:val="008A6B70"/>
    <w:rsid w:val="008B0264"/>
    <w:rsid w:val="008B05B0"/>
    <w:rsid w:val="008B11CE"/>
    <w:rsid w:val="008B194A"/>
    <w:rsid w:val="008B1D01"/>
    <w:rsid w:val="008B3EA4"/>
    <w:rsid w:val="008B47D9"/>
    <w:rsid w:val="008C0857"/>
    <w:rsid w:val="008C1983"/>
    <w:rsid w:val="008C1E3D"/>
    <w:rsid w:val="008C2129"/>
    <w:rsid w:val="008C2153"/>
    <w:rsid w:val="008C26DF"/>
    <w:rsid w:val="008C28CD"/>
    <w:rsid w:val="008C4B0B"/>
    <w:rsid w:val="008C4D09"/>
    <w:rsid w:val="008C4E3D"/>
    <w:rsid w:val="008C6FC7"/>
    <w:rsid w:val="008C7D5E"/>
    <w:rsid w:val="008D008F"/>
    <w:rsid w:val="008D1333"/>
    <w:rsid w:val="008D31E3"/>
    <w:rsid w:val="008D32D0"/>
    <w:rsid w:val="008D4240"/>
    <w:rsid w:val="008D5567"/>
    <w:rsid w:val="008D6078"/>
    <w:rsid w:val="008D6911"/>
    <w:rsid w:val="008E0609"/>
    <w:rsid w:val="008E0663"/>
    <w:rsid w:val="008E1EFF"/>
    <w:rsid w:val="008E1F21"/>
    <w:rsid w:val="008E22C6"/>
    <w:rsid w:val="008E25BE"/>
    <w:rsid w:val="008E2D2A"/>
    <w:rsid w:val="008E319D"/>
    <w:rsid w:val="008E4106"/>
    <w:rsid w:val="008E4389"/>
    <w:rsid w:val="008E4417"/>
    <w:rsid w:val="008E6077"/>
    <w:rsid w:val="008E7439"/>
    <w:rsid w:val="008E7995"/>
    <w:rsid w:val="008F034A"/>
    <w:rsid w:val="008F0D9A"/>
    <w:rsid w:val="008F1446"/>
    <w:rsid w:val="008F1ED7"/>
    <w:rsid w:val="008F275E"/>
    <w:rsid w:val="008F36A8"/>
    <w:rsid w:val="008F4F0A"/>
    <w:rsid w:val="008F4F16"/>
    <w:rsid w:val="008F6825"/>
    <w:rsid w:val="00900480"/>
    <w:rsid w:val="00903AFE"/>
    <w:rsid w:val="00903D82"/>
    <w:rsid w:val="00903DD7"/>
    <w:rsid w:val="00903F44"/>
    <w:rsid w:val="0090474D"/>
    <w:rsid w:val="009053D9"/>
    <w:rsid w:val="00905CF4"/>
    <w:rsid w:val="00906F08"/>
    <w:rsid w:val="009115B2"/>
    <w:rsid w:val="00911C3F"/>
    <w:rsid w:val="009123B3"/>
    <w:rsid w:val="009125D9"/>
    <w:rsid w:val="0091318A"/>
    <w:rsid w:val="00913318"/>
    <w:rsid w:val="00913D81"/>
    <w:rsid w:val="00914101"/>
    <w:rsid w:val="00914BBF"/>
    <w:rsid w:val="0091649F"/>
    <w:rsid w:val="009171DB"/>
    <w:rsid w:val="00917B9F"/>
    <w:rsid w:val="00920F1C"/>
    <w:rsid w:val="009229BB"/>
    <w:rsid w:val="00922F19"/>
    <w:rsid w:val="00923249"/>
    <w:rsid w:val="00923C1D"/>
    <w:rsid w:val="00923CC3"/>
    <w:rsid w:val="009250A3"/>
    <w:rsid w:val="009255E9"/>
    <w:rsid w:val="0092620F"/>
    <w:rsid w:val="009262AD"/>
    <w:rsid w:val="0092740F"/>
    <w:rsid w:val="00927417"/>
    <w:rsid w:val="00927BFF"/>
    <w:rsid w:val="009315EE"/>
    <w:rsid w:val="00932AB6"/>
    <w:rsid w:val="00932ED3"/>
    <w:rsid w:val="00932F5A"/>
    <w:rsid w:val="009333AB"/>
    <w:rsid w:val="009338D6"/>
    <w:rsid w:val="009371DC"/>
    <w:rsid w:val="0094250F"/>
    <w:rsid w:val="009437EC"/>
    <w:rsid w:val="0094421C"/>
    <w:rsid w:val="009442E8"/>
    <w:rsid w:val="0094470D"/>
    <w:rsid w:val="00944D36"/>
    <w:rsid w:val="00945278"/>
    <w:rsid w:val="009455BA"/>
    <w:rsid w:val="00947A76"/>
    <w:rsid w:val="00947E14"/>
    <w:rsid w:val="00947EA7"/>
    <w:rsid w:val="00950300"/>
    <w:rsid w:val="00950A1B"/>
    <w:rsid w:val="00951A3C"/>
    <w:rsid w:val="009526DD"/>
    <w:rsid w:val="00952881"/>
    <w:rsid w:val="00952C20"/>
    <w:rsid w:val="00954B80"/>
    <w:rsid w:val="00956359"/>
    <w:rsid w:val="0095656C"/>
    <w:rsid w:val="00956685"/>
    <w:rsid w:val="0095696F"/>
    <w:rsid w:val="00957442"/>
    <w:rsid w:val="009574BC"/>
    <w:rsid w:val="00960534"/>
    <w:rsid w:val="00961E59"/>
    <w:rsid w:val="0096247B"/>
    <w:rsid w:val="00963A72"/>
    <w:rsid w:val="00964714"/>
    <w:rsid w:val="009648A8"/>
    <w:rsid w:val="009650BA"/>
    <w:rsid w:val="0096522A"/>
    <w:rsid w:val="00965382"/>
    <w:rsid w:val="00965733"/>
    <w:rsid w:val="009659D1"/>
    <w:rsid w:val="00965ACC"/>
    <w:rsid w:val="00966C37"/>
    <w:rsid w:val="00967A9F"/>
    <w:rsid w:val="00967F95"/>
    <w:rsid w:val="009713FB"/>
    <w:rsid w:val="00973421"/>
    <w:rsid w:val="00973544"/>
    <w:rsid w:val="00973644"/>
    <w:rsid w:val="00974208"/>
    <w:rsid w:val="00975684"/>
    <w:rsid w:val="00975953"/>
    <w:rsid w:val="009763D6"/>
    <w:rsid w:val="00976749"/>
    <w:rsid w:val="009767D6"/>
    <w:rsid w:val="00977CEA"/>
    <w:rsid w:val="009813ED"/>
    <w:rsid w:val="009815CF"/>
    <w:rsid w:val="00981E2D"/>
    <w:rsid w:val="009835C2"/>
    <w:rsid w:val="00983740"/>
    <w:rsid w:val="00985D34"/>
    <w:rsid w:val="00985D50"/>
    <w:rsid w:val="009865AE"/>
    <w:rsid w:val="00986957"/>
    <w:rsid w:val="00986F17"/>
    <w:rsid w:val="0098733F"/>
    <w:rsid w:val="00987EF4"/>
    <w:rsid w:val="009901FB"/>
    <w:rsid w:val="00990213"/>
    <w:rsid w:val="00990F10"/>
    <w:rsid w:val="00991EB7"/>
    <w:rsid w:val="009928F6"/>
    <w:rsid w:val="00993806"/>
    <w:rsid w:val="009946FF"/>
    <w:rsid w:val="00995296"/>
    <w:rsid w:val="00995EB2"/>
    <w:rsid w:val="00997608"/>
    <w:rsid w:val="009A066A"/>
    <w:rsid w:val="009A0E34"/>
    <w:rsid w:val="009A133F"/>
    <w:rsid w:val="009A36AD"/>
    <w:rsid w:val="009A4036"/>
    <w:rsid w:val="009A41F9"/>
    <w:rsid w:val="009A5033"/>
    <w:rsid w:val="009A57D3"/>
    <w:rsid w:val="009A739A"/>
    <w:rsid w:val="009A7AAE"/>
    <w:rsid w:val="009A7B7D"/>
    <w:rsid w:val="009B0279"/>
    <w:rsid w:val="009B3432"/>
    <w:rsid w:val="009B4223"/>
    <w:rsid w:val="009B424E"/>
    <w:rsid w:val="009B7D37"/>
    <w:rsid w:val="009C0E72"/>
    <w:rsid w:val="009C3E91"/>
    <w:rsid w:val="009C4DF6"/>
    <w:rsid w:val="009C58B2"/>
    <w:rsid w:val="009C61CD"/>
    <w:rsid w:val="009C68E3"/>
    <w:rsid w:val="009C71E2"/>
    <w:rsid w:val="009C78DB"/>
    <w:rsid w:val="009D05B6"/>
    <w:rsid w:val="009D0C53"/>
    <w:rsid w:val="009D0D7F"/>
    <w:rsid w:val="009D1CBB"/>
    <w:rsid w:val="009D3A1F"/>
    <w:rsid w:val="009D418B"/>
    <w:rsid w:val="009D5380"/>
    <w:rsid w:val="009D6075"/>
    <w:rsid w:val="009D634C"/>
    <w:rsid w:val="009E23AE"/>
    <w:rsid w:val="009E3466"/>
    <w:rsid w:val="009E3670"/>
    <w:rsid w:val="009E4A6D"/>
    <w:rsid w:val="009E5431"/>
    <w:rsid w:val="009E626C"/>
    <w:rsid w:val="009E7A09"/>
    <w:rsid w:val="009F06C4"/>
    <w:rsid w:val="009F0A89"/>
    <w:rsid w:val="009F0F53"/>
    <w:rsid w:val="009F1B39"/>
    <w:rsid w:val="009F40B5"/>
    <w:rsid w:val="009F5594"/>
    <w:rsid w:val="009F628B"/>
    <w:rsid w:val="009F6DBE"/>
    <w:rsid w:val="009F7240"/>
    <w:rsid w:val="009F7C12"/>
    <w:rsid w:val="00A01844"/>
    <w:rsid w:val="00A018B1"/>
    <w:rsid w:val="00A01F46"/>
    <w:rsid w:val="00A0260F"/>
    <w:rsid w:val="00A0275E"/>
    <w:rsid w:val="00A03ABB"/>
    <w:rsid w:val="00A04A4A"/>
    <w:rsid w:val="00A050DC"/>
    <w:rsid w:val="00A05478"/>
    <w:rsid w:val="00A1047E"/>
    <w:rsid w:val="00A13F01"/>
    <w:rsid w:val="00A14A90"/>
    <w:rsid w:val="00A1690B"/>
    <w:rsid w:val="00A17CC0"/>
    <w:rsid w:val="00A201DE"/>
    <w:rsid w:val="00A21976"/>
    <w:rsid w:val="00A23006"/>
    <w:rsid w:val="00A23090"/>
    <w:rsid w:val="00A24ECF"/>
    <w:rsid w:val="00A2594F"/>
    <w:rsid w:val="00A26233"/>
    <w:rsid w:val="00A26F78"/>
    <w:rsid w:val="00A2727A"/>
    <w:rsid w:val="00A308B5"/>
    <w:rsid w:val="00A31552"/>
    <w:rsid w:val="00A317B6"/>
    <w:rsid w:val="00A31B3E"/>
    <w:rsid w:val="00A3343B"/>
    <w:rsid w:val="00A34266"/>
    <w:rsid w:val="00A349D8"/>
    <w:rsid w:val="00A366F0"/>
    <w:rsid w:val="00A3720D"/>
    <w:rsid w:val="00A403CB"/>
    <w:rsid w:val="00A40BB6"/>
    <w:rsid w:val="00A420EB"/>
    <w:rsid w:val="00A42D44"/>
    <w:rsid w:val="00A4308A"/>
    <w:rsid w:val="00A44F21"/>
    <w:rsid w:val="00A45246"/>
    <w:rsid w:val="00A4535C"/>
    <w:rsid w:val="00A45E24"/>
    <w:rsid w:val="00A460F8"/>
    <w:rsid w:val="00A46A4C"/>
    <w:rsid w:val="00A46B41"/>
    <w:rsid w:val="00A471E7"/>
    <w:rsid w:val="00A50799"/>
    <w:rsid w:val="00A510CE"/>
    <w:rsid w:val="00A51406"/>
    <w:rsid w:val="00A51AD0"/>
    <w:rsid w:val="00A51EED"/>
    <w:rsid w:val="00A53F1E"/>
    <w:rsid w:val="00A54C6B"/>
    <w:rsid w:val="00A54CC7"/>
    <w:rsid w:val="00A5553D"/>
    <w:rsid w:val="00A56667"/>
    <w:rsid w:val="00A5707A"/>
    <w:rsid w:val="00A601FE"/>
    <w:rsid w:val="00A6230F"/>
    <w:rsid w:val="00A64EA5"/>
    <w:rsid w:val="00A65DD3"/>
    <w:rsid w:val="00A66303"/>
    <w:rsid w:val="00A66A0A"/>
    <w:rsid w:val="00A70496"/>
    <w:rsid w:val="00A705EA"/>
    <w:rsid w:val="00A708D2"/>
    <w:rsid w:val="00A70C04"/>
    <w:rsid w:val="00A71688"/>
    <w:rsid w:val="00A718BD"/>
    <w:rsid w:val="00A71A32"/>
    <w:rsid w:val="00A72260"/>
    <w:rsid w:val="00A72DE5"/>
    <w:rsid w:val="00A747FC"/>
    <w:rsid w:val="00A74FF3"/>
    <w:rsid w:val="00A7555B"/>
    <w:rsid w:val="00A76034"/>
    <w:rsid w:val="00A76C41"/>
    <w:rsid w:val="00A77DCD"/>
    <w:rsid w:val="00A80408"/>
    <w:rsid w:val="00A809CE"/>
    <w:rsid w:val="00A80CC1"/>
    <w:rsid w:val="00A8153E"/>
    <w:rsid w:val="00A81DDC"/>
    <w:rsid w:val="00A823C9"/>
    <w:rsid w:val="00A8285C"/>
    <w:rsid w:val="00A82D60"/>
    <w:rsid w:val="00A83A10"/>
    <w:rsid w:val="00A83CCC"/>
    <w:rsid w:val="00A841FE"/>
    <w:rsid w:val="00A84987"/>
    <w:rsid w:val="00A86017"/>
    <w:rsid w:val="00A866CF"/>
    <w:rsid w:val="00A86A51"/>
    <w:rsid w:val="00A87A80"/>
    <w:rsid w:val="00A90E9A"/>
    <w:rsid w:val="00A9117C"/>
    <w:rsid w:val="00A917B6"/>
    <w:rsid w:val="00A91BB3"/>
    <w:rsid w:val="00A95D13"/>
    <w:rsid w:val="00AA0339"/>
    <w:rsid w:val="00AA05B8"/>
    <w:rsid w:val="00AA103F"/>
    <w:rsid w:val="00AA4A04"/>
    <w:rsid w:val="00AA4BB8"/>
    <w:rsid w:val="00AA4D2D"/>
    <w:rsid w:val="00AA579E"/>
    <w:rsid w:val="00AA580F"/>
    <w:rsid w:val="00AA63ED"/>
    <w:rsid w:val="00AA6F68"/>
    <w:rsid w:val="00AA6FE5"/>
    <w:rsid w:val="00AA7847"/>
    <w:rsid w:val="00AA7DFF"/>
    <w:rsid w:val="00AB37A2"/>
    <w:rsid w:val="00AB4E40"/>
    <w:rsid w:val="00AB5E4E"/>
    <w:rsid w:val="00AB6883"/>
    <w:rsid w:val="00AB69B9"/>
    <w:rsid w:val="00AB7D4E"/>
    <w:rsid w:val="00AC0167"/>
    <w:rsid w:val="00AC0864"/>
    <w:rsid w:val="00AC0B1E"/>
    <w:rsid w:val="00AC0FF3"/>
    <w:rsid w:val="00AC1950"/>
    <w:rsid w:val="00AC7475"/>
    <w:rsid w:val="00AC7ADE"/>
    <w:rsid w:val="00AD012D"/>
    <w:rsid w:val="00AD0F70"/>
    <w:rsid w:val="00AD0FCC"/>
    <w:rsid w:val="00AD168F"/>
    <w:rsid w:val="00AD1691"/>
    <w:rsid w:val="00AD2A35"/>
    <w:rsid w:val="00AD2E0F"/>
    <w:rsid w:val="00AD311B"/>
    <w:rsid w:val="00AD3F84"/>
    <w:rsid w:val="00AD49C4"/>
    <w:rsid w:val="00AD4E81"/>
    <w:rsid w:val="00AD543E"/>
    <w:rsid w:val="00AD6CDF"/>
    <w:rsid w:val="00AD71FF"/>
    <w:rsid w:val="00AD7351"/>
    <w:rsid w:val="00AE04B6"/>
    <w:rsid w:val="00AE082E"/>
    <w:rsid w:val="00AE12F3"/>
    <w:rsid w:val="00AE285E"/>
    <w:rsid w:val="00AE3BFE"/>
    <w:rsid w:val="00AE3C4D"/>
    <w:rsid w:val="00AE41F7"/>
    <w:rsid w:val="00AE5F0F"/>
    <w:rsid w:val="00AE6198"/>
    <w:rsid w:val="00AE6AE9"/>
    <w:rsid w:val="00AE6E99"/>
    <w:rsid w:val="00AE7C7A"/>
    <w:rsid w:val="00AF0AFE"/>
    <w:rsid w:val="00AF185D"/>
    <w:rsid w:val="00AF188B"/>
    <w:rsid w:val="00AF1DB4"/>
    <w:rsid w:val="00AF261D"/>
    <w:rsid w:val="00AF26DF"/>
    <w:rsid w:val="00AF307F"/>
    <w:rsid w:val="00AF34E1"/>
    <w:rsid w:val="00AF35CA"/>
    <w:rsid w:val="00AF4A5A"/>
    <w:rsid w:val="00AF53F4"/>
    <w:rsid w:val="00AF575B"/>
    <w:rsid w:val="00AF5A7B"/>
    <w:rsid w:val="00AF5F69"/>
    <w:rsid w:val="00AF5FA9"/>
    <w:rsid w:val="00AF6384"/>
    <w:rsid w:val="00AF6543"/>
    <w:rsid w:val="00AF7FB1"/>
    <w:rsid w:val="00B00049"/>
    <w:rsid w:val="00B008D0"/>
    <w:rsid w:val="00B00EF7"/>
    <w:rsid w:val="00B01179"/>
    <w:rsid w:val="00B022F5"/>
    <w:rsid w:val="00B04276"/>
    <w:rsid w:val="00B04849"/>
    <w:rsid w:val="00B04AE1"/>
    <w:rsid w:val="00B072C7"/>
    <w:rsid w:val="00B10966"/>
    <w:rsid w:val="00B10F02"/>
    <w:rsid w:val="00B116D8"/>
    <w:rsid w:val="00B11BAF"/>
    <w:rsid w:val="00B124B1"/>
    <w:rsid w:val="00B12AD4"/>
    <w:rsid w:val="00B12B73"/>
    <w:rsid w:val="00B14C34"/>
    <w:rsid w:val="00B163C4"/>
    <w:rsid w:val="00B16773"/>
    <w:rsid w:val="00B179CA"/>
    <w:rsid w:val="00B2014C"/>
    <w:rsid w:val="00B212EF"/>
    <w:rsid w:val="00B22116"/>
    <w:rsid w:val="00B22754"/>
    <w:rsid w:val="00B227E2"/>
    <w:rsid w:val="00B23778"/>
    <w:rsid w:val="00B275B4"/>
    <w:rsid w:val="00B27890"/>
    <w:rsid w:val="00B27A07"/>
    <w:rsid w:val="00B308EE"/>
    <w:rsid w:val="00B3213F"/>
    <w:rsid w:val="00B3531E"/>
    <w:rsid w:val="00B41A5B"/>
    <w:rsid w:val="00B46142"/>
    <w:rsid w:val="00B506C0"/>
    <w:rsid w:val="00B50888"/>
    <w:rsid w:val="00B50E86"/>
    <w:rsid w:val="00B52B4A"/>
    <w:rsid w:val="00B54AAB"/>
    <w:rsid w:val="00B5550B"/>
    <w:rsid w:val="00B560D5"/>
    <w:rsid w:val="00B564B0"/>
    <w:rsid w:val="00B56BEF"/>
    <w:rsid w:val="00B61F7E"/>
    <w:rsid w:val="00B62227"/>
    <w:rsid w:val="00B62D23"/>
    <w:rsid w:val="00B64A1F"/>
    <w:rsid w:val="00B64B95"/>
    <w:rsid w:val="00B6592F"/>
    <w:rsid w:val="00B66B7A"/>
    <w:rsid w:val="00B673D8"/>
    <w:rsid w:val="00B67D31"/>
    <w:rsid w:val="00B7024F"/>
    <w:rsid w:val="00B70424"/>
    <w:rsid w:val="00B710F6"/>
    <w:rsid w:val="00B71FF0"/>
    <w:rsid w:val="00B727D3"/>
    <w:rsid w:val="00B72824"/>
    <w:rsid w:val="00B73867"/>
    <w:rsid w:val="00B73DEA"/>
    <w:rsid w:val="00B7418D"/>
    <w:rsid w:val="00B745F4"/>
    <w:rsid w:val="00B752F4"/>
    <w:rsid w:val="00B765F3"/>
    <w:rsid w:val="00B7666C"/>
    <w:rsid w:val="00B77028"/>
    <w:rsid w:val="00B80370"/>
    <w:rsid w:val="00B80D42"/>
    <w:rsid w:val="00B8184F"/>
    <w:rsid w:val="00B81E83"/>
    <w:rsid w:val="00B84BB5"/>
    <w:rsid w:val="00B84E95"/>
    <w:rsid w:val="00B85CA9"/>
    <w:rsid w:val="00B865A8"/>
    <w:rsid w:val="00B87CB3"/>
    <w:rsid w:val="00B9122B"/>
    <w:rsid w:val="00B91766"/>
    <w:rsid w:val="00B94A62"/>
    <w:rsid w:val="00B94F8C"/>
    <w:rsid w:val="00B97325"/>
    <w:rsid w:val="00B97966"/>
    <w:rsid w:val="00B97FF1"/>
    <w:rsid w:val="00BA0DD1"/>
    <w:rsid w:val="00BA208F"/>
    <w:rsid w:val="00BA3F30"/>
    <w:rsid w:val="00BA5BF2"/>
    <w:rsid w:val="00BA666A"/>
    <w:rsid w:val="00BB1D20"/>
    <w:rsid w:val="00BB3DC1"/>
    <w:rsid w:val="00BB413C"/>
    <w:rsid w:val="00BB45DD"/>
    <w:rsid w:val="00BB46BC"/>
    <w:rsid w:val="00BB4E1E"/>
    <w:rsid w:val="00BB53B4"/>
    <w:rsid w:val="00BB7349"/>
    <w:rsid w:val="00BB7D9C"/>
    <w:rsid w:val="00BC07EC"/>
    <w:rsid w:val="00BC23B4"/>
    <w:rsid w:val="00BC2643"/>
    <w:rsid w:val="00BC2A72"/>
    <w:rsid w:val="00BC2EE8"/>
    <w:rsid w:val="00BC32B7"/>
    <w:rsid w:val="00BC4816"/>
    <w:rsid w:val="00BC4DF7"/>
    <w:rsid w:val="00BC511A"/>
    <w:rsid w:val="00BC5140"/>
    <w:rsid w:val="00BC5160"/>
    <w:rsid w:val="00BC51D0"/>
    <w:rsid w:val="00BC6A45"/>
    <w:rsid w:val="00BD618C"/>
    <w:rsid w:val="00BD6322"/>
    <w:rsid w:val="00BD693D"/>
    <w:rsid w:val="00BE18D1"/>
    <w:rsid w:val="00BE2484"/>
    <w:rsid w:val="00BE322E"/>
    <w:rsid w:val="00BE3FBA"/>
    <w:rsid w:val="00BE4822"/>
    <w:rsid w:val="00BE5A84"/>
    <w:rsid w:val="00BE5D1D"/>
    <w:rsid w:val="00BE7A8E"/>
    <w:rsid w:val="00BE7CBA"/>
    <w:rsid w:val="00BF15DF"/>
    <w:rsid w:val="00BF3420"/>
    <w:rsid w:val="00BF34F0"/>
    <w:rsid w:val="00BF3D4B"/>
    <w:rsid w:val="00BF46D6"/>
    <w:rsid w:val="00BF6EF6"/>
    <w:rsid w:val="00BF71EA"/>
    <w:rsid w:val="00C003C8"/>
    <w:rsid w:val="00C01224"/>
    <w:rsid w:val="00C0254F"/>
    <w:rsid w:val="00C0298A"/>
    <w:rsid w:val="00C03587"/>
    <w:rsid w:val="00C0496A"/>
    <w:rsid w:val="00C04D79"/>
    <w:rsid w:val="00C05BE5"/>
    <w:rsid w:val="00C06B72"/>
    <w:rsid w:val="00C06BDB"/>
    <w:rsid w:val="00C06F9E"/>
    <w:rsid w:val="00C07DAB"/>
    <w:rsid w:val="00C10889"/>
    <w:rsid w:val="00C113D4"/>
    <w:rsid w:val="00C114AD"/>
    <w:rsid w:val="00C12670"/>
    <w:rsid w:val="00C12766"/>
    <w:rsid w:val="00C1363D"/>
    <w:rsid w:val="00C14044"/>
    <w:rsid w:val="00C174E7"/>
    <w:rsid w:val="00C1751D"/>
    <w:rsid w:val="00C20127"/>
    <w:rsid w:val="00C20279"/>
    <w:rsid w:val="00C21CEB"/>
    <w:rsid w:val="00C21FF9"/>
    <w:rsid w:val="00C228EC"/>
    <w:rsid w:val="00C2307C"/>
    <w:rsid w:val="00C23674"/>
    <w:rsid w:val="00C2398D"/>
    <w:rsid w:val="00C25BDC"/>
    <w:rsid w:val="00C27F87"/>
    <w:rsid w:val="00C30599"/>
    <w:rsid w:val="00C3148F"/>
    <w:rsid w:val="00C32BEE"/>
    <w:rsid w:val="00C339BE"/>
    <w:rsid w:val="00C342A5"/>
    <w:rsid w:val="00C3467F"/>
    <w:rsid w:val="00C348B3"/>
    <w:rsid w:val="00C366B0"/>
    <w:rsid w:val="00C404CA"/>
    <w:rsid w:val="00C40B97"/>
    <w:rsid w:val="00C433A2"/>
    <w:rsid w:val="00C442EE"/>
    <w:rsid w:val="00C44685"/>
    <w:rsid w:val="00C4499B"/>
    <w:rsid w:val="00C4633C"/>
    <w:rsid w:val="00C46E6D"/>
    <w:rsid w:val="00C47275"/>
    <w:rsid w:val="00C5054E"/>
    <w:rsid w:val="00C50CD0"/>
    <w:rsid w:val="00C50D56"/>
    <w:rsid w:val="00C512DC"/>
    <w:rsid w:val="00C52B71"/>
    <w:rsid w:val="00C53307"/>
    <w:rsid w:val="00C54848"/>
    <w:rsid w:val="00C5535E"/>
    <w:rsid w:val="00C55639"/>
    <w:rsid w:val="00C55BF1"/>
    <w:rsid w:val="00C55ECD"/>
    <w:rsid w:val="00C56280"/>
    <w:rsid w:val="00C5718E"/>
    <w:rsid w:val="00C572A4"/>
    <w:rsid w:val="00C5733A"/>
    <w:rsid w:val="00C57519"/>
    <w:rsid w:val="00C57BA3"/>
    <w:rsid w:val="00C607D6"/>
    <w:rsid w:val="00C60F31"/>
    <w:rsid w:val="00C614F9"/>
    <w:rsid w:val="00C625C3"/>
    <w:rsid w:val="00C62A0A"/>
    <w:rsid w:val="00C6328C"/>
    <w:rsid w:val="00C63B1D"/>
    <w:rsid w:val="00C67893"/>
    <w:rsid w:val="00C700C3"/>
    <w:rsid w:val="00C704B1"/>
    <w:rsid w:val="00C70EEA"/>
    <w:rsid w:val="00C739DB"/>
    <w:rsid w:val="00C76AF2"/>
    <w:rsid w:val="00C8093C"/>
    <w:rsid w:val="00C80BDE"/>
    <w:rsid w:val="00C81030"/>
    <w:rsid w:val="00C81A7D"/>
    <w:rsid w:val="00C82249"/>
    <w:rsid w:val="00C83317"/>
    <w:rsid w:val="00C83EFB"/>
    <w:rsid w:val="00C83F8E"/>
    <w:rsid w:val="00C843BD"/>
    <w:rsid w:val="00C84D18"/>
    <w:rsid w:val="00C851BC"/>
    <w:rsid w:val="00C86206"/>
    <w:rsid w:val="00C86618"/>
    <w:rsid w:val="00C86D66"/>
    <w:rsid w:val="00C873FA"/>
    <w:rsid w:val="00C879CC"/>
    <w:rsid w:val="00C90AB1"/>
    <w:rsid w:val="00C91510"/>
    <w:rsid w:val="00C922B5"/>
    <w:rsid w:val="00C92664"/>
    <w:rsid w:val="00C926DD"/>
    <w:rsid w:val="00C9378C"/>
    <w:rsid w:val="00C93A21"/>
    <w:rsid w:val="00C943EE"/>
    <w:rsid w:val="00C95DCD"/>
    <w:rsid w:val="00CA0E5C"/>
    <w:rsid w:val="00CA0FE4"/>
    <w:rsid w:val="00CA1068"/>
    <w:rsid w:val="00CA10B6"/>
    <w:rsid w:val="00CA1464"/>
    <w:rsid w:val="00CA197D"/>
    <w:rsid w:val="00CA2C4E"/>
    <w:rsid w:val="00CA2CE2"/>
    <w:rsid w:val="00CA2D5D"/>
    <w:rsid w:val="00CA44EB"/>
    <w:rsid w:val="00CA46DA"/>
    <w:rsid w:val="00CA6B4E"/>
    <w:rsid w:val="00CA6E45"/>
    <w:rsid w:val="00CA7783"/>
    <w:rsid w:val="00CB0CEC"/>
    <w:rsid w:val="00CB20E5"/>
    <w:rsid w:val="00CB3689"/>
    <w:rsid w:val="00CB3829"/>
    <w:rsid w:val="00CB49B5"/>
    <w:rsid w:val="00CB783F"/>
    <w:rsid w:val="00CB7BCC"/>
    <w:rsid w:val="00CB7C2A"/>
    <w:rsid w:val="00CC178B"/>
    <w:rsid w:val="00CC1BB8"/>
    <w:rsid w:val="00CC275F"/>
    <w:rsid w:val="00CC3448"/>
    <w:rsid w:val="00CC542B"/>
    <w:rsid w:val="00CD1AAA"/>
    <w:rsid w:val="00CD1CF0"/>
    <w:rsid w:val="00CD315F"/>
    <w:rsid w:val="00CD347A"/>
    <w:rsid w:val="00CD36B1"/>
    <w:rsid w:val="00CD3970"/>
    <w:rsid w:val="00CD4244"/>
    <w:rsid w:val="00CD4BD9"/>
    <w:rsid w:val="00CD54C4"/>
    <w:rsid w:val="00CD5D67"/>
    <w:rsid w:val="00CD5EDF"/>
    <w:rsid w:val="00CD63C5"/>
    <w:rsid w:val="00CD6712"/>
    <w:rsid w:val="00CD7049"/>
    <w:rsid w:val="00CD768C"/>
    <w:rsid w:val="00CE0FDD"/>
    <w:rsid w:val="00CE226D"/>
    <w:rsid w:val="00CE42A6"/>
    <w:rsid w:val="00CE448D"/>
    <w:rsid w:val="00CE56A3"/>
    <w:rsid w:val="00CE6BC0"/>
    <w:rsid w:val="00CF1179"/>
    <w:rsid w:val="00CF3C26"/>
    <w:rsid w:val="00CF4493"/>
    <w:rsid w:val="00CF5245"/>
    <w:rsid w:val="00CF5ACC"/>
    <w:rsid w:val="00CF5EF9"/>
    <w:rsid w:val="00CF6CC3"/>
    <w:rsid w:val="00D00166"/>
    <w:rsid w:val="00D010CE"/>
    <w:rsid w:val="00D03040"/>
    <w:rsid w:val="00D042D8"/>
    <w:rsid w:val="00D046A6"/>
    <w:rsid w:val="00D04763"/>
    <w:rsid w:val="00D04D60"/>
    <w:rsid w:val="00D04EB0"/>
    <w:rsid w:val="00D056C2"/>
    <w:rsid w:val="00D05EAB"/>
    <w:rsid w:val="00D06660"/>
    <w:rsid w:val="00D06E06"/>
    <w:rsid w:val="00D06EAA"/>
    <w:rsid w:val="00D07A61"/>
    <w:rsid w:val="00D103C0"/>
    <w:rsid w:val="00D11F2E"/>
    <w:rsid w:val="00D13683"/>
    <w:rsid w:val="00D14112"/>
    <w:rsid w:val="00D144F1"/>
    <w:rsid w:val="00D1503D"/>
    <w:rsid w:val="00D150BE"/>
    <w:rsid w:val="00D15A5E"/>
    <w:rsid w:val="00D174A6"/>
    <w:rsid w:val="00D1750A"/>
    <w:rsid w:val="00D17605"/>
    <w:rsid w:val="00D176C2"/>
    <w:rsid w:val="00D17B8E"/>
    <w:rsid w:val="00D17F9F"/>
    <w:rsid w:val="00D208F8"/>
    <w:rsid w:val="00D213AB"/>
    <w:rsid w:val="00D21E30"/>
    <w:rsid w:val="00D22571"/>
    <w:rsid w:val="00D22CC2"/>
    <w:rsid w:val="00D22CF1"/>
    <w:rsid w:val="00D22EE0"/>
    <w:rsid w:val="00D237AC"/>
    <w:rsid w:val="00D23C4C"/>
    <w:rsid w:val="00D2450C"/>
    <w:rsid w:val="00D24A91"/>
    <w:rsid w:val="00D25C72"/>
    <w:rsid w:val="00D27B8F"/>
    <w:rsid w:val="00D31CFC"/>
    <w:rsid w:val="00D3249D"/>
    <w:rsid w:val="00D359F7"/>
    <w:rsid w:val="00D36669"/>
    <w:rsid w:val="00D374D0"/>
    <w:rsid w:val="00D37509"/>
    <w:rsid w:val="00D37830"/>
    <w:rsid w:val="00D40652"/>
    <w:rsid w:val="00D40978"/>
    <w:rsid w:val="00D42298"/>
    <w:rsid w:val="00D43277"/>
    <w:rsid w:val="00D4352C"/>
    <w:rsid w:val="00D439BF"/>
    <w:rsid w:val="00D44AAF"/>
    <w:rsid w:val="00D46EB9"/>
    <w:rsid w:val="00D47E1A"/>
    <w:rsid w:val="00D51BAB"/>
    <w:rsid w:val="00D520CC"/>
    <w:rsid w:val="00D52D33"/>
    <w:rsid w:val="00D536A8"/>
    <w:rsid w:val="00D538EA"/>
    <w:rsid w:val="00D56421"/>
    <w:rsid w:val="00D57698"/>
    <w:rsid w:val="00D5777E"/>
    <w:rsid w:val="00D57794"/>
    <w:rsid w:val="00D60435"/>
    <w:rsid w:val="00D60562"/>
    <w:rsid w:val="00D60925"/>
    <w:rsid w:val="00D61080"/>
    <w:rsid w:val="00D6234B"/>
    <w:rsid w:val="00D631A3"/>
    <w:rsid w:val="00D64CA1"/>
    <w:rsid w:val="00D660DE"/>
    <w:rsid w:val="00D66145"/>
    <w:rsid w:val="00D6655E"/>
    <w:rsid w:val="00D667D8"/>
    <w:rsid w:val="00D67305"/>
    <w:rsid w:val="00D67520"/>
    <w:rsid w:val="00D67949"/>
    <w:rsid w:val="00D67F9B"/>
    <w:rsid w:val="00D67FE1"/>
    <w:rsid w:val="00D70FAF"/>
    <w:rsid w:val="00D71D3A"/>
    <w:rsid w:val="00D73B50"/>
    <w:rsid w:val="00D73ED8"/>
    <w:rsid w:val="00D74716"/>
    <w:rsid w:val="00D7501B"/>
    <w:rsid w:val="00D76D38"/>
    <w:rsid w:val="00D76FAF"/>
    <w:rsid w:val="00D77127"/>
    <w:rsid w:val="00D778CA"/>
    <w:rsid w:val="00D77D8B"/>
    <w:rsid w:val="00D8050F"/>
    <w:rsid w:val="00D80633"/>
    <w:rsid w:val="00D80CB2"/>
    <w:rsid w:val="00D81E02"/>
    <w:rsid w:val="00D829B5"/>
    <w:rsid w:val="00D82FE9"/>
    <w:rsid w:val="00D85D95"/>
    <w:rsid w:val="00D8622D"/>
    <w:rsid w:val="00D86D8A"/>
    <w:rsid w:val="00D90B26"/>
    <w:rsid w:val="00D92A54"/>
    <w:rsid w:val="00D946AC"/>
    <w:rsid w:val="00D954F7"/>
    <w:rsid w:val="00D96824"/>
    <w:rsid w:val="00D97CFE"/>
    <w:rsid w:val="00DA0D02"/>
    <w:rsid w:val="00DA1AA2"/>
    <w:rsid w:val="00DA20CE"/>
    <w:rsid w:val="00DA3135"/>
    <w:rsid w:val="00DA36CE"/>
    <w:rsid w:val="00DA428C"/>
    <w:rsid w:val="00DA530F"/>
    <w:rsid w:val="00DA6A03"/>
    <w:rsid w:val="00DB072F"/>
    <w:rsid w:val="00DB1684"/>
    <w:rsid w:val="00DB1B9C"/>
    <w:rsid w:val="00DB3280"/>
    <w:rsid w:val="00DB66DA"/>
    <w:rsid w:val="00DB751B"/>
    <w:rsid w:val="00DB75C6"/>
    <w:rsid w:val="00DB7665"/>
    <w:rsid w:val="00DB7B7E"/>
    <w:rsid w:val="00DB7DDD"/>
    <w:rsid w:val="00DC07EC"/>
    <w:rsid w:val="00DC0A31"/>
    <w:rsid w:val="00DC0AE0"/>
    <w:rsid w:val="00DC0BF8"/>
    <w:rsid w:val="00DC1190"/>
    <w:rsid w:val="00DC251E"/>
    <w:rsid w:val="00DC2876"/>
    <w:rsid w:val="00DC360E"/>
    <w:rsid w:val="00DC4490"/>
    <w:rsid w:val="00DC4674"/>
    <w:rsid w:val="00DC4E55"/>
    <w:rsid w:val="00DC55CF"/>
    <w:rsid w:val="00DC6CE2"/>
    <w:rsid w:val="00DC7C37"/>
    <w:rsid w:val="00DD0076"/>
    <w:rsid w:val="00DD0DD7"/>
    <w:rsid w:val="00DD25C1"/>
    <w:rsid w:val="00DD4820"/>
    <w:rsid w:val="00DD4BBF"/>
    <w:rsid w:val="00DD5182"/>
    <w:rsid w:val="00DD5975"/>
    <w:rsid w:val="00DD62BC"/>
    <w:rsid w:val="00DD7AFA"/>
    <w:rsid w:val="00DE1DD8"/>
    <w:rsid w:val="00DE1F39"/>
    <w:rsid w:val="00DE3A46"/>
    <w:rsid w:val="00DE3EF1"/>
    <w:rsid w:val="00DE4AFA"/>
    <w:rsid w:val="00DE5292"/>
    <w:rsid w:val="00DE57C2"/>
    <w:rsid w:val="00DE5B9A"/>
    <w:rsid w:val="00DE5FC9"/>
    <w:rsid w:val="00DE67C0"/>
    <w:rsid w:val="00DE6CF2"/>
    <w:rsid w:val="00DE6D33"/>
    <w:rsid w:val="00DE6EE5"/>
    <w:rsid w:val="00DE767B"/>
    <w:rsid w:val="00DF0268"/>
    <w:rsid w:val="00DF11F5"/>
    <w:rsid w:val="00DF1D87"/>
    <w:rsid w:val="00DF28F6"/>
    <w:rsid w:val="00DF2A85"/>
    <w:rsid w:val="00DF3227"/>
    <w:rsid w:val="00DF390B"/>
    <w:rsid w:val="00DF405E"/>
    <w:rsid w:val="00DF48FD"/>
    <w:rsid w:val="00DF6206"/>
    <w:rsid w:val="00DF64A3"/>
    <w:rsid w:val="00DF7074"/>
    <w:rsid w:val="00DF71D1"/>
    <w:rsid w:val="00DF7496"/>
    <w:rsid w:val="00E0042D"/>
    <w:rsid w:val="00E00907"/>
    <w:rsid w:val="00E01D21"/>
    <w:rsid w:val="00E02967"/>
    <w:rsid w:val="00E02D3D"/>
    <w:rsid w:val="00E0402A"/>
    <w:rsid w:val="00E04351"/>
    <w:rsid w:val="00E04BFA"/>
    <w:rsid w:val="00E0556A"/>
    <w:rsid w:val="00E063EB"/>
    <w:rsid w:val="00E06BDB"/>
    <w:rsid w:val="00E06F43"/>
    <w:rsid w:val="00E07482"/>
    <w:rsid w:val="00E076E6"/>
    <w:rsid w:val="00E079D0"/>
    <w:rsid w:val="00E10ED1"/>
    <w:rsid w:val="00E12CF2"/>
    <w:rsid w:val="00E12D92"/>
    <w:rsid w:val="00E159A6"/>
    <w:rsid w:val="00E162C2"/>
    <w:rsid w:val="00E16340"/>
    <w:rsid w:val="00E16595"/>
    <w:rsid w:val="00E1685A"/>
    <w:rsid w:val="00E16A79"/>
    <w:rsid w:val="00E16C38"/>
    <w:rsid w:val="00E174AC"/>
    <w:rsid w:val="00E178B0"/>
    <w:rsid w:val="00E21649"/>
    <w:rsid w:val="00E21A1B"/>
    <w:rsid w:val="00E21F4F"/>
    <w:rsid w:val="00E22A29"/>
    <w:rsid w:val="00E235DB"/>
    <w:rsid w:val="00E25424"/>
    <w:rsid w:val="00E25732"/>
    <w:rsid w:val="00E2591A"/>
    <w:rsid w:val="00E2627D"/>
    <w:rsid w:val="00E262D7"/>
    <w:rsid w:val="00E2666B"/>
    <w:rsid w:val="00E275E7"/>
    <w:rsid w:val="00E325E2"/>
    <w:rsid w:val="00E32C6F"/>
    <w:rsid w:val="00E3483D"/>
    <w:rsid w:val="00E34977"/>
    <w:rsid w:val="00E3501D"/>
    <w:rsid w:val="00E36DF1"/>
    <w:rsid w:val="00E411DB"/>
    <w:rsid w:val="00E4127B"/>
    <w:rsid w:val="00E416AB"/>
    <w:rsid w:val="00E41974"/>
    <w:rsid w:val="00E42DA8"/>
    <w:rsid w:val="00E4387E"/>
    <w:rsid w:val="00E44765"/>
    <w:rsid w:val="00E461D4"/>
    <w:rsid w:val="00E46250"/>
    <w:rsid w:val="00E46AA2"/>
    <w:rsid w:val="00E46B70"/>
    <w:rsid w:val="00E46ECF"/>
    <w:rsid w:val="00E47F76"/>
    <w:rsid w:val="00E50463"/>
    <w:rsid w:val="00E507BF"/>
    <w:rsid w:val="00E5172D"/>
    <w:rsid w:val="00E51DDA"/>
    <w:rsid w:val="00E5238F"/>
    <w:rsid w:val="00E524EE"/>
    <w:rsid w:val="00E52E83"/>
    <w:rsid w:val="00E52F09"/>
    <w:rsid w:val="00E53D47"/>
    <w:rsid w:val="00E55547"/>
    <w:rsid w:val="00E5647D"/>
    <w:rsid w:val="00E57D19"/>
    <w:rsid w:val="00E611BC"/>
    <w:rsid w:val="00E619AE"/>
    <w:rsid w:val="00E61F50"/>
    <w:rsid w:val="00E62F8A"/>
    <w:rsid w:val="00E63F9F"/>
    <w:rsid w:val="00E64C2F"/>
    <w:rsid w:val="00E66114"/>
    <w:rsid w:val="00E70A8B"/>
    <w:rsid w:val="00E716BF"/>
    <w:rsid w:val="00E71923"/>
    <w:rsid w:val="00E71D84"/>
    <w:rsid w:val="00E7209E"/>
    <w:rsid w:val="00E73E1E"/>
    <w:rsid w:val="00E74765"/>
    <w:rsid w:val="00E752F6"/>
    <w:rsid w:val="00E7583F"/>
    <w:rsid w:val="00E75CE4"/>
    <w:rsid w:val="00E77420"/>
    <w:rsid w:val="00E77542"/>
    <w:rsid w:val="00E77D31"/>
    <w:rsid w:val="00E804DF"/>
    <w:rsid w:val="00E81874"/>
    <w:rsid w:val="00E81C88"/>
    <w:rsid w:val="00E83F64"/>
    <w:rsid w:val="00E83F74"/>
    <w:rsid w:val="00E84BB1"/>
    <w:rsid w:val="00E85387"/>
    <w:rsid w:val="00E859AC"/>
    <w:rsid w:val="00E85B1A"/>
    <w:rsid w:val="00E862ED"/>
    <w:rsid w:val="00E863E1"/>
    <w:rsid w:val="00E903A4"/>
    <w:rsid w:val="00E9040D"/>
    <w:rsid w:val="00E90586"/>
    <w:rsid w:val="00E90DF6"/>
    <w:rsid w:val="00E924EE"/>
    <w:rsid w:val="00E93339"/>
    <w:rsid w:val="00E93831"/>
    <w:rsid w:val="00E95E50"/>
    <w:rsid w:val="00EA27B7"/>
    <w:rsid w:val="00EA2F07"/>
    <w:rsid w:val="00EA3FF0"/>
    <w:rsid w:val="00EA43C8"/>
    <w:rsid w:val="00EA4CC4"/>
    <w:rsid w:val="00EA65EA"/>
    <w:rsid w:val="00EB0D78"/>
    <w:rsid w:val="00EB2D0D"/>
    <w:rsid w:val="00EB3068"/>
    <w:rsid w:val="00EB3B20"/>
    <w:rsid w:val="00EB4BA5"/>
    <w:rsid w:val="00EB5395"/>
    <w:rsid w:val="00EB5948"/>
    <w:rsid w:val="00EB5F9C"/>
    <w:rsid w:val="00EB7AC4"/>
    <w:rsid w:val="00EC0DE8"/>
    <w:rsid w:val="00EC19FF"/>
    <w:rsid w:val="00EC1B54"/>
    <w:rsid w:val="00EC1DB0"/>
    <w:rsid w:val="00EC1ECD"/>
    <w:rsid w:val="00EC2A8E"/>
    <w:rsid w:val="00EC3121"/>
    <w:rsid w:val="00EC33A4"/>
    <w:rsid w:val="00EC4482"/>
    <w:rsid w:val="00EC4C5E"/>
    <w:rsid w:val="00EC5300"/>
    <w:rsid w:val="00EC5310"/>
    <w:rsid w:val="00EC5BC5"/>
    <w:rsid w:val="00EC5C87"/>
    <w:rsid w:val="00EC7410"/>
    <w:rsid w:val="00EC772A"/>
    <w:rsid w:val="00ED0EFF"/>
    <w:rsid w:val="00ED2318"/>
    <w:rsid w:val="00ED2368"/>
    <w:rsid w:val="00ED2AA5"/>
    <w:rsid w:val="00ED3528"/>
    <w:rsid w:val="00ED3F58"/>
    <w:rsid w:val="00ED60FD"/>
    <w:rsid w:val="00ED7269"/>
    <w:rsid w:val="00EE0B9C"/>
    <w:rsid w:val="00EE1E0F"/>
    <w:rsid w:val="00EE347A"/>
    <w:rsid w:val="00EE3F66"/>
    <w:rsid w:val="00EE4118"/>
    <w:rsid w:val="00EE43EA"/>
    <w:rsid w:val="00EE4676"/>
    <w:rsid w:val="00EE4C79"/>
    <w:rsid w:val="00EE625F"/>
    <w:rsid w:val="00EE717E"/>
    <w:rsid w:val="00EE777A"/>
    <w:rsid w:val="00EE7CD7"/>
    <w:rsid w:val="00EF0761"/>
    <w:rsid w:val="00EF0ED7"/>
    <w:rsid w:val="00EF0F1F"/>
    <w:rsid w:val="00EF0FF0"/>
    <w:rsid w:val="00EF1068"/>
    <w:rsid w:val="00EF11D4"/>
    <w:rsid w:val="00EF19C5"/>
    <w:rsid w:val="00EF1F6D"/>
    <w:rsid w:val="00EF209E"/>
    <w:rsid w:val="00EF276F"/>
    <w:rsid w:val="00EF3F09"/>
    <w:rsid w:val="00EF62FF"/>
    <w:rsid w:val="00EF7521"/>
    <w:rsid w:val="00EF7933"/>
    <w:rsid w:val="00F00060"/>
    <w:rsid w:val="00F00CE2"/>
    <w:rsid w:val="00F014E1"/>
    <w:rsid w:val="00F0169E"/>
    <w:rsid w:val="00F02313"/>
    <w:rsid w:val="00F0254F"/>
    <w:rsid w:val="00F045B7"/>
    <w:rsid w:val="00F04AC2"/>
    <w:rsid w:val="00F05DD2"/>
    <w:rsid w:val="00F060E7"/>
    <w:rsid w:val="00F06B62"/>
    <w:rsid w:val="00F07584"/>
    <w:rsid w:val="00F11B67"/>
    <w:rsid w:val="00F1280A"/>
    <w:rsid w:val="00F14B37"/>
    <w:rsid w:val="00F14DC2"/>
    <w:rsid w:val="00F1560B"/>
    <w:rsid w:val="00F15B87"/>
    <w:rsid w:val="00F1695A"/>
    <w:rsid w:val="00F16FE7"/>
    <w:rsid w:val="00F1739D"/>
    <w:rsid w:val="00F175E3"/>
    <w:rsid w:val="00F17FA8"/>
    <w:rsid w:val="00F22915"/>
    <w:rsid w:val="00F22E52"/>
    <w:rsid w:val="00F22ED8"/>
    <w:rsid w:val="00F22F5D"/>
    <w:rsid w:val="00F241AD"/>
    <w:rsid w:val="00F252E2"/>
    <w:rsid w:val="00F254E7"/>
    <w:rsid w:val="00F2679F"/>
    <w:rsid w:val="00F26B76"/>
    <w:rsid w:val="00F274A8"/>
    <w:rsid w:val="00F27E48"/>
    <w:rsid w:val="00F31264"/>
    <w:rsid w:val="00F327F4"/>
    <w:rsid w:val="00F32B44"/>
    <w:rsid w:val="00F339A9"/>
    <w:rsid w:val="00F34B20"/>
    <w:rsid w:val="00F354D0"/>
    <w:rsid w:val="00F35DA9"/>
    <w:rsid w:val="00F35E50"/>
    <w:rsid w:val="00F36FD4"/>
    <w:rsid w:val="00F3781A"/>
    <w:rsid w:val="00F378A6"/>
    <w:rsid w:val="00F378CC"/>
    <w:rsid w:val="00F4307A"/>
    <w:rsid w:val="00F43291"/>
    <w:rsid w:val="00F43902"/>
    <w:rsid w:val="00F43F17"/>
    <w:rsid w:val="00F44AF4"/>
    <w:rsid w:val="00F44D25"/>
    <w:rsid w:val="00F45B36"/>
    <w:rsid w:val="00F47674"/>
    <w:rsid w:val="00F476E3"/>
    <w:rsid w:val="00F47DF2"/>
    <w:rsid w:val="00F50014"/>
    <w:rsid w:val="00F51BAE"/>
    <w:rsid w:val="00F52B6B"/>
    <w:rsid w:val="00F53236"/>
    <w:rsid w:val="00F53D22"/>
    <w:rsid w:val="00F540BA"/>
    <w:rsid w:val="00F5629F"/>
    <w:rsid w:val="00F567A2"/>
    <w:rsid w:val="00F57255"/>
    <w:rsid w:val="00F57331"/>
    <w:rsid w:val="00F57822"/>
    <w:rsid w:val="00F60918"/>
    <w:rsid w:val="00F60CF1"/>
    <w:rsid w:val="00F612E9"/>
    <w:rsid w:val="00F616E6"/>
    <w:rsid w:val="00F62371"/>
    <w:rsid w:val="00F62C60"/>
    <w:rsid w:val="00F6339C"/>
    <w:rsid w:val="00F64147"/>
    <w:rsid w:val="00F6426F"/>
    <w:rsid w:val="00F64DDA"/>
    <w:rsid w:val="00F64F32"/>
    <w:rsid w:val="00F6653E"/>
    <w:rsid w:val="00F66897"/>
    <w:rsid w:val="00F66DD2"/>
    <w:rsid w:val="00F66F6F"/>
    <w:rsid w:val="00F700D5"/>
    <w:rsid w:val="00F70D05"/>
    <w:rsid w:val="00F71185"/>
    <w:rsid w:val="00F711E0"/>
    <w:rsid w:val="00F7134F"/>
    <w:rsid w:val="00F737D8"/>
    <w:rsid w:val="00F750BC"/>
    <w:rsid w:val="00F76488"/>
    <w:rsid w:val="00F77370"/>
    <w:rsid w:val="00F80152"/>
    <w:rsid w:val="00F80552"/>
    <w:rsid w:val="00F80623"/>
    <w:rsid w:val="00F80BDD"/>
    <w:rsid w:val="00F828F8"/>
    <w:rsid w:val="00F82B0B"/>
    <w:rsid w:val="00F837D3"/>
    <w:rsid w:val="00F851D3"/>
    <w:rsid w:val="00F91151"/>
    <w:rsid w:val="00F9124B"/>
    <w:rsid w:val="00F9201B"/>
    <w:rsid w:val="00F923F2"/>
    <w:rsid w:val="00F926E9"/>
    <w:rsid w:val="00F93718"/>
    <w:rsid w:val="00F94039"/>
    <w:rsid w:val="00F96547"/>
    <w:rsid w:val="00F96578"/>
    <w:rsid w:val="00FA1DBE"/>
    <w:rsid w:val="00FA24DB"/>
    <w:rsid w:val="00FA2F1E"/>
    <w:rsid w:val="00FA6666"/>
    <w:rsid w:val="00FA69ED"/>
    <w:rsid w:val="00FA72EC"/>
    <w:rsid w:val="00FB1461"/>
    <w:rsid w:val="00FB245F"/>
    <w:rsid w:val="00FB28B4"/>
    <w:rsid w:val="00FB4E20"/>
    <w:rsid w:val="00FB550F"/>
    <w:rsid w:val="00FB61B7"/>
    <w:rsid w:val="00FB62E8"/>
    <w:rsid w:val="00FB6B8C"/>
    <w:rsid w:val="00FB777A"/>
    <w:rsid w:val="00FB7825"/>
    <w:rsid w:val="00FC098D"/>
    <w:rsid w:val="00FC1159"/>
    <w:rsid w:val="00FC1C68"/>
    <w:rsid w:val="00FC1D5C"/>
    <w:rsid w:val="00FC218D"/>
    <w:rsid w:val="00FC2C66"/>
    <w:rsid w:val="00FC3E5F"/>
    <w:rsid w:val="00FC533E"/>
    <w:rsid w:val="00FC633F"/>
    <w:rsid w:val="00FC6533"/>
    <w:rsid w:val="00FC6B9F"/>
    <w:rsid w:val="00FC7482"/>
    <w:rsid w:val="00FD02B6"/>
    <w:rsid w:val="00FD0A68"/>
    <w:rsid w:val="00FD0BDE"/>
    <w:rsid w:val="00FD2349"/>
    <w:rsid w:val="00FD3B89"/>
    <w:rsid w:val="00FD437C"/>
    <w:rsid w:val="00FD500D"/>
    <w:rsid w:val="00FD6338"/>
    <w:rsid w:val="00FD6525"/>
    <w:rsid w:val="00FD6E5C"/>
    <w:rsid w:val="00FE0D73"/>
    <w:rsid w:val="00FE10E5"/>
    <w:rsid w:val="00FE1D39"/>
    <w:rsid w:val="00FE55DC"/>
    <w:rsid w:val="00FE5702"/>
    <w:rsid w:val="00FE72F7"/>
    <w:rsid w:val="00FF1167"/>
    <w:rsid w:val="00FF32F1"/>
    <w:rsid w:val="00FF3CE0"/>
    <w:rsid w:val="00FF5B4B"/>
    <w:rsid w:val="00FF63BA"/>
    <w:rsid w:val="00FF69BB"/>
    <w:rsid w:val="00FF798C"/>
    <w:rsid w:val="00FF7D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09B"/>
    <w:pPr>
      <w:ind w:left="720"/>
      <w:contextualSpacing/>
    </w:pPr>
  </w:style>
  <w:style w:type="paragraph" w:styleId="NormalWeb">
    <w:name w:val="Normal (Web)"/>
    <w:basedOn w:val="Normal"/>
    <w:uiPriority w:val="99"/>
    <w:semiHidden/>
    <w:unhideWhenUsed/>
    <w:rsid w:val="000B7E7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A0275E"/>
    <w:rPr>
      <w:color w:val="0000FF"/>
      <w:u w:val="single"/>
    </w:rPr>
  </w:style>
  <w:style w:type="paragraph" w:styleId="Header">
    <w:name w:val="header"/>
    <w:basedOn w:val="Normal"/>
    <w:link w:val="HeaderChar"/>
    <w:uiPriority w:val="99"/>
    <w:unhideWhenUsed/>
    <w:rsid w:val="00386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1A3"/>
  </w:style>
  <w:style w:type="paragraph" w:styleId="Footer">
    <w:name w:val="footer"/>
    <w:basedOn w:val="Normal"/>
    <w:link w:val="FooterChar"/>
    <w:uiPriority w:val="99"/>
    <w:unhideWhenUsed/>
    <w:rsid w:val="00386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1A3"/>
  </w:style>
  <w:style w:type="paragraph" w:styleId="FootnoteText">
    <w:name w:val="footnote text"/>
    <w:basedOn w:val="Normal"/>
    <w:link w:val="FootnoteTextChar"/>
    <w:uiPriority w:val="99"/>
    <w:unhideWhenUsed/>
    <w:rsid w:val="00F851D3"/>
    <w:pPr>
      <w:spacing w:after="0" w:line="240" w:lineRule="auto"/>
    </w:pPr>
    <w:rPr>
      <w:sz w:val="20"/>
      <w:szCs w:val="20"/>
    </w:rPr>
  </w:style>
  <w:style w:type="character" w:customStyle="1" w:styleId="FootnoteTextChar">
    <w:name w:val="Footnote Text Char"/>
    <w:basedOn w:val="DefaultParagraphFont"/>
    <w:link w:val="FootnoteText"/>
    <w:uiPriority w:val="99"/>
    <w:rsid w:val="00F851D3"/>
    <w:rPr>
      <w:sz w:val="20"/>
      <w:szCs w:val="20"/>
    </w:rPr>
  </w:style>
  <w:style w:type="character" w:styleId="FootnoteReference">
    <w:name w:val="footnote reference"/>
    <w:basedOn w:val="DefaultParagraphFont"/>
    <w:uiPriority w:val="99"/>
    <w:semiHidden/>
    <w:unhideWhenUsed/>
    <w:rsid w:val="00F851D3"/>
    <w:rPr>
      <w:vertAlign w:val="superscript"/>
    </w:rPr>
  </w:style>
  <w:style w:type="character" w:styleId="FollowedHyperlink">
    <w:name w:val="FollowedHyperlink"/>
    <w:basedOn w:val="DefaultParagraphFont"/>
    <w:uiPriority w:val="99"/>
    <w:semiHidden/>
    <w:unhideWhenUsed/>
    <w:rsid w:val="005C1C3E"/>
    <w:rPr>
      <w:color w:val="800080" w:themeColor="followedHyperlink"/>
      <w:u w:val="single"/>
    </w:rPr>
  </w:style>
  <w:style w:type="character" w:styleId="PlaceholderText">
    <w:name w:val="Placeholder Text"/>
    <w:basedOn w:val="DefaultParagraphFont"/>
    <w:uiPriority w:val="99"/>
    <w:semiHidden/>
    <w:rsid w:val="003A4B39"/>
    <w:rPr>
      <w:color w:val="808080"/>
    </w:rPr>
  </w:style>
  <w:style w:type="paragraph" w:styleId="BalloonText">
    <w:name w:val="Balloon Text"/>
    <w:basedOn w:val="Normal"/>
    <w:link w:val="BalloonTextChar"/>
    <w:uiPriority w:val="99"/>
    <w:semiHidden/>
    <w:unhideWhenUsed/>
    <w:rsid w:val="003A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B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09B"/>
    <w:pPr>
      <w:ind w:left="720"/>
      <w:contextualSpacing/>
    </w:pPr>
  </w:style>
  <w:style w:type="paragraph" w:styleId="NormalWeb">
    <w:name w:val="Normal (Web)"/>
    <w:basedOn w:val="Normal"/>
    <w:uiPriority w:val="99"/>
    <w:semiHidden/>
    <w:unhideWhenUsed/>
    <w:rsid w:val="000B7E7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A0275E"/>
    <w:rPr>
      <w:color w:val="0000FF"/>
      <w:u w:val="single"/>
    </w:rPr>
  </w:style>
  <w:style w:type="paragraph" w:styleId="Header">
    <w:name w:val="header"/>
    <w:basedOn w:val="Normal"/>
    <w:link w:val="HeaderChar"/>
    <w:uiPriority w:val="99"/>
    <w:unhideWhenUsed/>
    <w:rsid w:val="00386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1A3"/>
  </w:style>
  <w:style w:type="paragraph" w:styleId="Footer">
    <w:name w:val="footer"/>
    <w:basedOn w:val="Normal"/>
    <w:link w:val="FooterChar"/>
    <w:uiPriority w:val="99"/>
    <w:unhideWhenUsed/>
    <w:rsid w:val="00386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1A3"/>
  </w:style>
  <w:style w:type="paragraph" w:styleId="FootnoteText">
    <w:name w:val="footnote text"/>
    <w:basedOn w:val="Normal"/>
    <w:link w:val="FootnoteTextChar"/>
    <w:uiPriority w:val="99"/>
    <w:unhideWhenUsed/>
    <w:rsid w:val="00F851D3"/>
    <w:pPr>
      <w:spacing w:after="0" w:line="240" w:lineRule="auto"/>
    </w:pPr>
    <w:rPr>
      <w:sz w:val="20"/>
      <w:szCs w:val="20"/>
    </w:rPr>
  </w:style>
  <w:style w:type="character" w:customStyle="1" w:styleId="FootnoteTextChar">
    <w:name w:val="Footnote Text Char"/>
    <w:basedOn w:val="DefaultParagraphFont"/>
    <w:link w:val="FootnoteText"/>
    <w:uiPriority w:val="99"/>
    <w:rsid w:val="00F851D3"/>
    <w:rPr>
      <w:sz w:val="20"/>
      <w:szCs w:val="20"/>
    </w:rPr>
  </w:style>
  <w:style w:type="character" w:styleId="FootnoteReference">
    <w:name w:val="footnote reference"/>
    <w:basedOn w:val="DefaultParagraphFont"/>
    <w:uiPriority w:val="99"/>
    <w:semiHidden/>
    <w:unhideWhenUsed/>
    <w:rsid w:val="00F851D3"/>
    <w:rPr>
      <w:vertAlign w:val="superscript"/>
    </w:rPr>
  </w:style>
  <w:style w:type="character" w:styleId="FollowedHyperlink">
    <w:name w:val="FollowedHyperlink"/>
    <w:basedOn w:val="DefaultParagraphFont"/>
    <w:uiPriority w:val="99"/>
    <w:semiHidden/>
    <w:unhideWhenUsed/>
    <w:rsid w:val="005C1C3E"/>
    <w:rPr>
      <w:color w:val="800080" w:themeColor="followedHyperlink"/>
      <w:u w:val="single"/>
    </w:rPr>
  </w:style>
  <w:style w:type="character" w:styleId="PlaceholderText">
    <w:name w:val="Placeholder Text"/>
    <w:basedOn w:val="DefaultParagraphFont"/>
    <w:uiPriority w:val="99"/>
    <w:semiHidden/>
    <w:rsid w:val="003A4B39"/>
    <w:rPr>
      <w:color w:val="808080"/>
    </w:rPr>
  </w:style>
  <w:style w:type="paragraph" w:styleId="BalloonText">
    <w:name w:val="Balloon Text"/>
    <w:basedOn w:val="Normal"/>
    <w:link w:val="BalloonTextChar"/>
    <w:uiPriority w:val="99"/>
    <w:semiHidden/>
    <w:unhideWhenUsed/>
    <w:rsid w:val="003A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zma.org.nz/journal-articles/new-zealands-elimination-strategy-for-the-covid-19-pandemic-and-what-is-required-to-make-it-work" TargetMode="External"/><Relationship Id="rId18" Type="http://schemas.openxmlformats.org/officeDocument/2006/relationships/hyperlink" Target="https://onlinelibrary.wiley.com/doi/full/10.1111/1753-6405.12818" TargetMode="External"/><Relationship Id="rId26" Type="http://schemas.openxmlformats.org/officeDocument/2006/relationships/hyperlink" Target="https://eprints.lse.ac.uk/33895/1/dp2769.pdf" TargetMode="External"/><Relationship Id="rId39" Type="http://schemas.openxmlformats.org/officeDocument/2006/relationships/hyperlink" Target="https://papers.ssrn.com/sol3/papers.cfm?abstract_id=3674138&amp;download=yes" TargetMode="External"/><Relationship Id="rId21" Type="http://schemas.openxmlformats.org/officeDocument/2006/relationships/hyperlink" Target="https://www.forbes.com/sites/theapothecary/2020/03/27/how-economists-calculate-the-costs-and-benefits-of-covid-19-lockdowns/" TargetMode="External"/><Relationship Id="rId34" Type="http://schemas.openxmlformats.org/officeDocument/2006/relationships/hyperlink" Target="https://theconversation.com/the-costs-of-the-shutdown-are-overestimated-theyre-outweighed-by-its-1-trillion-benefit-138303" TargetMode="External"/><Relationship Id="rId42" Type="http://schemas.openxmlformats.org/officeDocument/2006/relationships/hyperlink" Target="http://www.imperial.ac.uk/people/d.miles" TargetMode="External"/><Relationship Id="rId47" Type="http://schemas.openxmlformats.org/officeDocument/2006/relationships/hyperlink" Target="https://www.pnas.org/content/117/35/21201" TargetMode="External"/><Relationship Id="rId50" Type="http://schemas.openxmlformats.org/officeDocument/2006/relationships/hyperlink" Target="https://treasury.govt.nz/system/files/2019-12/hyefu19.pdf"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ciblogs.co.nz/public-health-expert/2020/03/23/the-maths-and-ethics-of-minimising-covid-19-deaths-in-nz/" TargetMode="External"/><Relationship Id="rId20" Type="http://schemas.openxmlformats.org/officeDocument/2006/relationships/hyperlink" Target="https://www.thelancet.com/journals/eclinm/article/PIIS2589-5370(20)30208-X/fulltext" TargetMode="External"/><Relationship Id="rId29" Type="http://schemas.openxmlformats.org/officeDocument/2006/relationships/hyperlink" Target="https://www.bmj.com/content/370/bmj.m3026" TargetMode="External"/><Relationship Id="rId41" Type="http://schemas.openxmlformats.org/officeDocument/2006/relationships/hyperlink" Target="http://cep.lse.ac.uk/pubs/download/occasional/op049.pdf" TargetMode="External"/><Relationship Id="rId54" Type="http://schemas.openxmlformats.org/officeDocument/2006/relationships/hyperlink" Target="https://www.health.govt.nz/system/files/documents/publications/report_for_chief_science_advisor_-_health_-_24_march_final.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xiv.org/pdf/2005.04630.pdf" TargetMode="External"/><Relationship Id="rId24" Type="http://schemas.openxmlformats.org/officeDocument/2006/relationships/hyperlink" Target="https://www.thelancet.com/journals/lancet/article/PIIS0140-6736(20)31675-5/fulltext" TargetMode="External"/><Relationship Id="rId32" Type="http://schemas.openxmlformats.org/officeDocument/2006/relationships/hyperlink" Target="https://www.productivity.govt.nz/assets/Documents/cost-benefit-analysis-covid-alert-4/92193c37f4/A-cost-benefit-analysis-of-5-extra-days-at-COVID-19-at-alert-level-4.pdf" TargetMode="External"/><Relationship Id="rId37" Type="http://schemas.openxmlformats.org/officeDocument/2006/relationships/hyperlink" Target="https://www.tepunahamatatini.ac.nz/2020/11/16/economic-comparison-of-the-use-of-alert-levels-3-and-4-for-aucklands-august-outbreak/" TargetMode="External"/><Relationship Id="rId40" Type="http://schemas.openxmlformats.org/officeDocument/2006/relationships/hyperlink" Target="https://www.researchgate.net/publication/279991339_How_much_might_a_society_spend_on_life-saving_interventions_at_different_ages_while_remaining_cost-effective_A_case_study_in_a_country_with_detailed_data/download" TargetMode="External"/><Relationship Id="rId45" Type="http://schemas.openxmlformats.org/officeDocument/2006/relationships/hyperlink" Target="https://files.digital.nhs.uk/91/084B1D/National%20Diabetes%20Audit%2C%202017-18%2C%20Report%202a.pdf" TargetMode="External"/><Relationship Id="rId53" Type="http://schemas.openxmlformats.org/officeDocument/2006/relationships/hyperlink" Target="https://www.treasury.govt.nz/system/files/2020-09/prefu20.pdf"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cpb-ap-se2.wpmucdn.com/blogs.auckland.ac.nz/dist/d/75/files/2020/11/Binny_et_al_Early_interventions_forTPMwebpage_9Nov.pdf" TargetMode="External"/><Relationship Id="rId23" Type="http://schemas.openxmlformats.org/officeDocument/2006/relationships/hyperlink" Target="https://www.tandfonline.com/doi/pdf/10.1080/00779954.2020.1806340?needAccess=true" TargetMode="External"/><Relationship Id="rId28" Type="http://schemas.openxmlformats.org/officeDocument/2006/relationships/hyperlink" Target="https://papers.ssrn.com/sol3/papers.cfm?abstract_id=3631180" TargetMode="External"/><Relationship Id="rId36" Type="http://schemas.openxmlformats.org/officeDocument/2006/relationships/hyperlink" Target="https://cpb-ap-se2.wpmucdn.com/blogs.auckland.ac.nz/dist/d/75/files/2017/01/Supression-and-Mitigation-New-Zealand-TPM-006.pdf" TargetMode="External"/><Relationship Id="rId49" Type="http://schemas.openxmlformats.org/officeDocument/2006/relationships/hyperlink" Target="https://www.thepublicdiscourse.com/2020/04/62572/"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www.medrxiv.org/content/10.1101/2020.07.23.20160762v2" TargetMode="External"/><Relationship Id="rId19" Type="http://schemas.openxmlformats.org/officeDocument/2006/relationships/hyperlink" Target="https://www.newsroom.co.nz/ideasroom/2020/03/17/1087345/how-much-is-a-nz-life-worth" TargetMode="External"/><Relationship Id="rId31" Type="http://schemas.openxmlformats.org/officeDocument/2006/relationships/hyperlink" Target="https://www.bsg.ox.ac.uk/sites/default/files/2020-05/BSG-WP-2020-032-v6.0.pdf" TargetMode="External"/><Relationship Id="rId44" Type="http://schemas.openxmlformats.org/officeDocument/2006/relationships/hyperlink" Target="https://covid19.govt.nz/assets/resources/proactive-release/COVID-19-Weekly-Monitoring-Report.pdf" TargetMode="External"/><Relationship Id="rId52" Type="http://schemas.openxmlformats.org/officeDocument/2006/relationships/hyperlink" Target="https://treasury.govt.nz/sites/default/files/2020-07/befu20-v2.pdf"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lallym@xtra.co.nz" TargetMode="External"/><Relationship Id="rId14" Type="http://schemas.openxmlformats.org/officeDocument/2006/relationships/hyperlink" Target="https://www.valueinhealthjournal.com/article/S1098-3015%2814%2900054-0/fulltext" TargetMode="External"/><Relationship Id="rId22" Type="http://schemas.openxmlformats.org/officeDocument/2006/relationships/hyperlink" Target="https://www.sciencemag.org/news/2020/07/brain-fog-heart-damage-covid-19-s-lingering-problems-alarm-scientists" TargetMode="External"/><Relationship Id="rId27" Type="http://schemas.openxmlformats.org/officeDocument/2006/relationships/hyperlink" Target="https://ideas.repec.org/p/wai/econwp/20-06.html" TargetMode="External"/><Relationship Id="rId30" Type="http://schemas.openxmlformats.org/officeDocument/2006/relationships/hyperlink" Target="https://www.ceps.eu/wp-content/uploads/2020/05/PI2020-11_DG_The-great-lockdown.pdf" TargetMode="External"/><Relationship Id="rId35" Type="http://schemas.openxmlformats.org/officeDocument/2006/relationships/hyperlink" Target="https://www.jbs.cam.ac.uk/wp-content/uploads/2020/08/wp2003.pdf" TargetMode="External"/><Relationship Id="rId43" Type="http://schemas.openxmlformats.org/officeDocument/2006/relationships/hyperlink" Target="https://www.transport.govt.nz/assets/Import/Uploads/Research/Documents/b67f729bf5/Social-cost-of-road-crashes-and-injuries-2018-update.pdf" TargetMode="External"/><Relationship Id="rId48" Type="http://schemas.openxmlformats.org/officeDocument/2006/relationships/hyperlink" Target="https://papers.ssrn.com/sol3/papers.cfm?abstract_id=3609493"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treasury.govt.nz/sites/default/files/2020-04/c19-4265378-t2020-973-economic-scenarios-v3.pdf" TargetMode="External"/><Relationship Id="rId3" Type="http://schemas.openxmlformats.org/officeDocument/2006/relationships/styles" Target="styles.xml"/><Relationship Id="rId12" Type="http://schemas.openxmlformats.org/officeDocument/2006/relationships/hyperlink" Target="https://www.medrxiv.org/content/medrxiv/early/2020/08/14/2020.08.12.20173526.full.pdf" TargetMode="External"/><Relationship Id="rId17" Type="http://schemas.openxmlformats.org/officeDocument/2006/relationships/hyperlink" Target="https://adaptresearch.files.wordpress.com/2020/03/200318_v2_manuscript-modelling-the-economic-impact-of-covid_19.pdf" TargetMode="External"/><Relationship Id="rId25" Type="http://schemas.openxmlformats.org/officeDocument/2006/relationships/hyperlink" Target="https://www.imperial.ac.uk/media/imperial-college/medicine/sph/ide/gida-fellowships/Imperial-College-COVID19-NPI-modelling-16-03-2020.pdf" TargetMode="External"/><Relationship Id="rId33" Type="http://schemas.openxmlformats.org/officeDocument/2006/relationships/hyperlink" Target="http://diskussionspapiere.wiwi.uni-hannover.de/pdf_bib/dp-671.pdf" TargetMode="External"/><Relationship Id="rId38" Type="http://schemas.openxmlformats.org/officeDocument/2006/relationships/hyperlink" Target="https://thorax.bmj.com/content/75/10/833" TargetMode="External"/><Relationship Id="rId46" Type="http://schemas.openxmlformats.org/officeDocument/2006/relationships/hyperlink" Target="https://www.pharmac.govt.nz/assets/pfpa-2-2.pdf" TargetMode="External"/><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euromomo.eu/graphs-and-maps" TargetMode="External"/><Relationship Id="rId13" Type="http://schemas.openxmlformats.org/officeDocument/2006/relationships/hyperlink" Target="http://archive.stats.govt.nz/browse_for_stats/health/life_expectancy/NZLifeTables_HOTP12-14/Data%20Quality.aspx" TargetMode="External"/><Relationship Id="rId18" Type="http://schemas.openxmlformats.org/officeDocument/2006/relationships/hyperlink" Target="https://www.mayoclinic.org/diseases-conditions/coronavirus/in-depth/coronavirus-long-term-effects/art-20490351" TargetMode="External"/><Relationship Id="rId26" Type="http://schemas.openxmlformats.org/officeDocument/2006/relationships/hyperlink" Target="https://covidtracker.bsg.ox.ac.uk/" TargetMode="External"/><Relationship Id="rId3" Type="http://schemas.openxmlformats.org/officeDocument/2006/relationships/hyperlink" Target="http://www.rbnz.govt.nz" TargetMode="External"/><Relationship Id="rId21" Type="http://schemas.openxmlformats.org/officeDocument/2006/relationships/hyperlink" Target="https://www.nzherald.co.nz/nz/my-story-professor-michael-baker-i-wept-when-pm-announced-that-nz-was-going-into-lockdown/GFCRGQ4DUEXDQOMFTRVYR7BH7E/" TargetMode="External"/><Relationship Id="rId34" Type="http://schemas.openxmlformats.org/officeDocument/2006/relationships/hyperlink" Target="https://www.worldometers.info/coronavirus/" TargetMode="External"/><Relationship Id="rId7" Type="http://schemas.openxmlformats.org/officeDocument/2006/relationships/hyperlink" Target="https://covidtracker.bsg.ox.ac.uk/" TargetMode="External"/><Relationship Id="rId12" Type="http://schemas.openxmlformats.org/officeDocument/2006/relationships/hyperlink" Target="https://apps.who.int/gho/data/?theme=main&amp;vid=61600" TargetMode="External"/><Relationship Id="rId17" Type="http://schemas.openxmlformats.org/officeDocument/2006/relationships/hyperlink" Target="https://www.healthline.com/health-news/what-we-know-about-the-long-term-effects-of-covid-19" TargetMode="External"/><Relationship Id="rId25" Type="http://schemas.openxmlformats.org/officeDocument/2006/relationships/hyperlink" Target="https://www.stats.govt.nz/information-releases/regional-gross-domestic-product-year-ended-march-2019" TargetMode="External"/><Relationship Id="rId33" Type="http://schemas.openxmlformats.org/officeDocument/2006/relationships/hyperlink" Target="https://gateway.euro.who.int/en/indicators/hfa_490-5100-nursing-and-elderly-home-beds-per-100-000/" TargetMode="External"/><Relationship Id="rId2" Type="http://schemas.openxmlformats.org/officeDocument/2006/relationships/hyperlink" Target="http://www.rbnz.govt.nz" TargetMode="External"/><Relationship Id="rId16" Type="http://schemas.openxmlformats.org/officeDocument/2006/relationships/hyperlink" Target="https://www.worldometers.info/coronavirus/" TargetMode="External"/><Relationship Id="rId20" Type="http://schemas.openxmlformats.org/officeDocument/2006/relationships/hyperlink" Target="https://www.stuff.co.nz/national/health/coronavirus/120435284/coronavirus-how-close-is-new-zealand-to-lockdowns" TargetMode="External"/><Relationship Id="rId29" Type="http://schemas.openxmlformats.org/officeDocument/2006/relationships/hyperlink" Target="https://en.wikipedia.org/wiki/List_of_countries_by_GDP_(nominal)_per_capita" TargetMode="External"/><Relationship Id="rId1" Type="http://schemas.openxmlformats.org/officeDocument/2006/relationships/hyperlink" Target="https://www.worldometers.info/coronavirus/coronavirus-age-sex-demographics/" TargetMode="External"/><Relationship Id="rId6" Type="http://schemas.openxmlformats.org/officeDocument/2006/relationships/hyperlink" Target="http://archive.stats.govt.nz/browse_for_stats/health/life_expectancy/NZLifeTables_HOTP12-14.aspx" TargetMode="External"/><Relationship Id="rId11" Type="http://schemas.openxmlformats.org/officeDocument/2006/relationships/hyperlink" Target="https://www.statista.com/statistics/1107913/number-of-coronavirus-deaths-in-sweden-by-age-groups/" TargetMode="External"/><Relationship Id="rId24" Type="http://schemas.openxmlformats.org/officeDocument/2006/relationships/hyperlink" Target="https://www.nzherald.co.nz/nz/news/article.cfm?c_id=1&amp;objectid=12322501" TargetMode="External"/><Relationship Id="rId32" Type="http://schemas.openxmlformats.org/officeDocument/2006/relationships/hyperlink" Target="https://population.un.org/Household/index.html" TargetMode="External"/><Relationship Id="rId5" Type="http://schemas.openxmlformats.org/officeDocument/2006/relationships/hyperlink" Target="https://www.transport.govt.nz/mot-resources/road-safety-resources/road-deaths/" TargetMode="External"/><Relationship Id="rId15" Type="http://schemas.openxmlformats.org/officeDocument/2006/relationships/hyperlink" Target="https://www.nzherald.co.nz/nz/news/article.cfm?c_id=1&amp;objectid=12365158" TargetMode="External"/><Relationship Id="rId23" Type="http://schemas.openxmlformats.org/officeDocument/2006/relationships/hyperlink" Target="https://www.statnews.com/2020/04/08/doctors-say-ventilators-overused-for-covid-19/" TargetMode="External"/><Relationship Id="rId28" Type="http://schemas.openxmlformats.org/officeDocument/2006/relationships/hyperlink" Target="https://en.wikipedia.org/wiki/List_of_countries_and_dependencies_by_area" TargetMode="External"/><Relationship Id="rId10" Type="http://schemas.openxmlformats.org/officeDocument/2006/relationships/hyperlink" Target="https://www.ined.fr/en/everything_about_population/data/europe-developed-countries/population-births-deaths/" TargetMode="External"/><Relationship Id="rId19" Type="http://schemas.openxmlformats.org/officeDocument/2006/relationships/hyperlink" Target="https://edition.cnn.com/2020/12/02/uk/pfizer-coronavirus-vaccine-uk-intl-hnk/index.html" TargetMode="External"/><Relationship Id="rId31" Type="http://schemas.openxmlformats.org/officeDocument/2006/relationships/hyperlink" Target="https://www.un.org/en/development/desa/population/publications/pdf/ageing/household_size_and_composition_around_the_world_2017_data_booklet.pdf" TargetMode="External"/><Relationship Id="rId4" Type="http://schemas.openxmlformats.org/officeDocument/2006/relationships/hyperlink" Target="https://www.treasury.govt.nz/publications/guide/cbax-spreadsheet-model-0" TargetMode="External"/><Relationship Id="rId9" Type="http://schemas.openxmlformats.org/officeDocument/2006/relationships/hyperlink" Target="https://www.worldometers.info/coronavirus/" TargetMode="External"/><Relationship Id="rId14" Type="http://schemas.openxmlformats.org/officeDocument/2006/relationships/hyperlink" Target="https://www.stats.govt.nz/information-releases/regional-gross-domestic-product-year-ended-march-2019" TargetMode="External"/><Relationship Id="rId22" Type="http://schemas.openxmlformats.org/officeDocument/2006/relationships/hyperlink" Target="https://www.worldometers.info/coronavirus/" TargetMode="External"/><Relationship Id="rId27" Type="http://schemas.openxmlformats.org/officeDocument/2006/relationships/hyperlink" Target="https://www.worldometers.info/coronavirus/" TargetMode="External"/><Relationship Id="rId30" Type="http://schemas.openxmlformats.org/officeDocument/2006/relationships/hyperlink" Target="https://en.wikipedia.org/wiki/List_of_countries_by_age_structure" TargetMode="External"/><Relationship Id="rId35" Type="http://schemas.openxmlformats.org/officeDocument/2006/relationships/hyperlink" Target="https://thehill.com/opinion/healthcare/489962-what-if-the-sky-is-falling-coronavirus-models-are-simply-w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FA98F-5D1E-4961-9954-37999650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34096</TotalTime>
  <Pages>54</Pages>
  <Words>19005</Words>
  <Characters>108330</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437</cp:revision>
  <cp:lastPrinted>2020-11-24T22:54:00Z</cp:lastPrinted>
  <dcterms:created xsi:type="dcterms:W3CDTF">2020-10-18T08:54:00Z</dcterms:created>
  <dcterms:modified xsi:type="dcterms:W3CDTF">2020-12-17T03:38:00Z</dcterms:modified>
</cp:coreProperties>
</file>